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10"/>
          <w:kern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pacing w:val="-10"/>
          <w:kern w:val="0"/>
          <w:sz w:val="44"/>
          <w:szCs w:val="44"/>
          <w:highlight w:val="none"/>
        </w:rPr>
        <w:t>成都</w:t>
      </w:r>
      <w:r>
        <w:rPr>
          <w:rFonts w:hint="default" w:ascii="Times New Roman" w:hAnsi="Times New Roman" w:eastAsia="方正小标宋简体" w:cs="Times New Roman"/>
          <w:color w:val="auto"/>
          <w:spacing w:val="-10"/>
          <w:kern w:val="0"/>
          <w:sz w:val="44"/>
          <w:szCs w:val="44"/>
          <w:highlight w:val="none"/>
          <w:lang w:val="en-US" w:eastAsia="zh-CN"/>
        </w:rPr>
        <w:t>高新技术产业开发区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1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-10"/>
          <w:kern w:val="0"/>
          <w:sz w:val="44"/>
          <w:szCs w:val="44"/>
          <w:highlight w:val="none"/>
        </w:rPr>
        <w:t>关于</w:t>
      </w:r>
      <w:r>
        <w:rPr>
          <w:rFonts w:hint="default" w:ascii="Times New Roman" w:hAnsi="Times New Roman" w:eastAsia="方正小标宋简体" w:cs="Times New Roman"/>
          <w:color w:val="auto"/>
          <w:spacing w:val="-10"/>
          <w:kern w:val="0"/>
          <w:sz w:val="44"/>
          <w:szCs w:val="44"/>
          <w:highlight w:val="none"/>
          <w:lang w:val="en-US" w:eastAsia="zh-CN"/>
        </w:rPr>
        <w:t>支持集成电路产业高质量发展</w:t>
      </w:r>
      <w:r>
        <w:rPr>
          <w:rFonts w:hint="default" w:ascii="Times New Roman" w:hAnsi="Times New Roman" w:eastAsia="方正小标宋简体" w:cs="Times New Roman"/>
          <w:color w:val="auto"/>
          <w:spacing w:val="-10"/>
          <w:kern w:val="0"/>
          <w:sz w:val="44"/>
          <w:szCs w:val="44"/>
          <w:highlight w:val="none"/>
        </w:rPr>
        <w:t>的若干政策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楷体" w:cs="Times New Roman"/>
          <w:color w:val="auto"/>
          <w:spacing w:val="-1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楷体" w:cs="Times New Roman"/>
          <w:color w:val="auto"/>
          <w:spacing w:val="-10"/>
          <w:kern w:val="0"/>
          <w:sz w:val="32"/>
          <w:szCs w:val="32"/>
          <w:highlight w:val="none"/>
          <w:lang w:val="en-US" w:eastAsia="zh-CN"/>
        </w:rPr>
        <w:t>征求意见</w:t>
      </w:r>
      <w:r>
        <w:rPr>
          <w:rFonts w:hint="default" w:ascii="Times New Roman" w:hAnsi="Times New Roman" w:eastAsia="方正楷体" w:cs="Times New Roman"/>
          <w:color w:val="auto"/>
          <w:spacing w:val="-10"/>
          <w:kern w:val="0"/>
          <w:sz w:val="32"/>
          <w:szCs w:val="32"/>
          <w:highlight w:val="none"/>
          <w:lang w:val="en-US" w:eastAsia="zh-CN"/>
        </w:rPr>
        <w:t>稿</w:t>
      </w:r>
      <w:r>
        <w:rPr>
          <w:rFonts w:hint="default" w:ascii="Times New Roman" w:hAnsi="Times New Roman" w:eastAsia="方正楷体" w:cs="Times New Roman"/>
          <w:color w:val="auto"/>
          <w:spacing w:val="-10"/>
          <w:kern w:val="0"/>
          <w:sz w:val="32"/>
          <w:szCs w:val="32"/>
          <w:highlight w:val="none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712" w:firstLineChars="200"/>
        <w:textAlignment w:val="auto"/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为深入贯彻落实产业建圈强链，增强成都高新区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集成电路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产业核心竞争力，促进产业加快聚集、提质升级，实现高质量发展，打造具有影响力的特色产业基地，特制订本政策。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64" w:firstLineChars="200"/>
        <w:jc w:val="center"/>
        <w:textAlignment w:val="auto"/>
        <w:rPr>
          <w:rFonts w:hint="default" w:ascii="Times New Roman" w:hAnsi="Times New Roman" w:eastAsia="方正黑体" w:cs="Times New Roman"/>
          <w:color w:val="auto"/>
          <w:spacing w:val="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黑体" w:cs="Times New Roman"/>
          <w:color w:val="auto"/>
          <w:spacing w:val="6"/>
          <w:kern w:val="0"/>
          <w:sz w:val="32"/>
          <w:szCs w:val="32"/>
          <w:highlight w:val="none"/>
        </w:rPr>
        <w:t xml:space="preserve">第一章 </w:t>
      </w:r>
      <w:r>
        <w:rPr>
          <w:rFonts w:hint="default" w:ascii="Times New Roman" w:hAnsi="Times New Roman" w:eastAsia="方正黑体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适用</w:t>
      </w:r>
      <w:r>
        <w:rPr>
          <w:rFonts w:hint="default" w:ascii="Times New Roman" w:hAnsi="Times New Roman" w:eastAsia="方正黑体" w:cs="Times New Roman"/>
          <w:color w:val="auto"/>
          <w:spacing w:val="6"/>
          <w:kern w:val="0"/>
          <w:sz w:val="32"/>
          <w:szCs w:val="32"/>
          <w:highlight w:val="none"/>
        </w:rPr>
        <w:t>范围和原则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712" w:firstLineChars="200"/>
        <w:textAlignment w:val="auto"/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本政策适用于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登记注册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、税收关系均在成都高新区，具有独立法人资格，从事集成电路设计、制造、封测、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设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备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零部件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、材料、工业软件研发制造等业务的企事业单位及机构（行业协会、民非组织）；以及在成都市范围内与高新区合作共建的园区（以下简称合作园区）从事集成电路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设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备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零部件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、材料研发制造等业务的企业。本政策适用的企事业单位应管理规范，无不良信用记录，自觉遵守安全生产、环境保护等方面的法律法规，近三年未发生重大安全事故。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hint="default" w:eastAsia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64" w:firstLineChars="200"/>
        <w:jc w:val="center"/>
        <w:textAlignment w:val="auto"/>
        <w:rPr>
          <w:rFonts w:hint="default" w:ascii="Times New Roman" w:hAnsi="Times New Roman" w:eastAsia="方正黑体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第二章 集成电路设计政策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</w:pPr>
      <w:r>
        <w:rPr>
          <w:rFonts w:hint="default" w:ascii="Times New Roman" w:hAnsi="Times New Roman" w:eastAsia="方正楷体" w:cs="Times New Roman"/>
          <w:color w:val="auto"/>
          <w:sz w:val="32"/>
          <w:szCs w:val="32"/>
          <w:highlight w:val="none"/>
          <w:lang w:val="en-US" w:eastAsia="zh-CN"/>
        </w:rPr>
        <w:t>第一条  支持企业提升研发设计能力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  <w:highlight w:val="none"/>
        </w:rPr>
        <w:t>对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  <w:highlight w:val="none"/>
          <w:lang w:val="en-US" w:eastAsia="zh-CN"/>
        </w:rPr>
        <w:t>设计企业租用本地研发或国家级公共服务平台提供的EDA工具的，按照</w:t>
      </w:r>
      <w:r>
        <w:rPr>
          <w:rFonts w:hint="eastAsia" w:ascii="Times New Roman" w:hAnsi="Times New Roman" w:eastAsia="方正仿宋简体" w:cs="Times New Roman"/>
          <w:bCs/>
          <w:color w:val="auto"/>
          <w:sz w:val="32"/>
          <w:szCs w:val="32"/>
          <w:highlight w:val="none"/>
          <w:lang w:val="en-US" w:eastAsia="zh-CN"/>
        </w:rPr>
        <w:t>租赁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  <w:highlight w:val="none"/>
          <w:lang w:val="en-US" w:eastAsia="zh-CN"/>
        </w:rPr>
        <w:t>费用的50%给予最高</w:t>
      </w:r>
      <w:r>
        <w:rPr>
          <w:rFonts w:hint="eastAsia" w:ascii="Times New Roman" w:hAnsi="Times New Roman" w:eastAsia="方正仿宋简体" w:cs="Times New Roman"/>
          <w:bCs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  <w:highlight w:val="none"/>
          <w:lang w:val="en-US" w:eastAsia="zh-CN"/>
        </w:rPr>
        <w:t>0万元补贴。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对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设计企业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使用多项目晶圆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（MPW）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进行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集成电路产品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研发流片的，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按照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流片费用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0%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给予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最高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00万元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eastAsia="zh-CN"/>
        </w:rPr>
        <w:t>补贴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" w:cs="Times New Roman"/>
          <w:color w:val="auto"/>
          <w:sz w:val="32"/>
          <w:szCs w:val="32"/>
          <w:highlight w:val="none"/>
          <w:lang w:val="en-US" w:eastAsia="zh-CN"/>
        </w:rPr>
        <w:t>第二条  支持企业加强生态合作。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  <w:highlight w:val="none"/>
          <w:lang w:val="en-US" w:eastAsia="zh-CN"/>
        </w:rPr>
        <w:t>对和本地晶圆代工厂合作开发</w:t>
      </w:r>
      <w:r>
        <w:rPr>
          <w:rFonts w:hint="eastAsia" w:ascii="Times New Roman" w:hAnsi="Times New Roman" w:eastAsia="方正仿宋简体" w:cs="Times New Roman"/>
          <w:bCs/>
          <w:color w:val="auto"/>
          <w:sz w:val="32"/>
          <w:szCs w:val="32"/>
          <w:highlight w:val="none"/>
          <w:lang w:val="en-US" w:eastAsia="zh-CN"/>
        </w:rPr>
        <w:t>工业软件、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  <w:highlight w:val="none"/>
          <w:lang w:val="en-US" w:eastAsia="zh-CN"/>
        </w:rPr>
        <w:t>IP核的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  <w:highlight w:val="none"/>
        </w:rPr>
        <w:t>企业，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  <w:highlight w:val="none"/>
          <w:lang w:val="en-US" w:eastAsia="zh-CN"/>
        </w:rPr>
        <w:t>按照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企业自投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研发费用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  <w:highlight w:val="none"/>
          <w:lang w:val="en-US" w:eastAsia="zh-CN"/>
        </w:rPr>
        <w:t>的1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  <w:highlight w:val="none"/>
        </w:rPr>
        <w:t>0%给予最高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  <w:highlight w:val="none"/>
        </w:rPr>
        <w:t>00万元补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  <w:highlight w:val="none"/>
          <w:lang w:val="en-US" w:eastAsia="zh-CN"/>
        </w:rPr>
        <w:t>贴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对设计企业开展有利于促进本地集成电路线宽小于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45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nm（含）工艺产线应用的首轮全掩模工程流片项目，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eastAsia="zh-CN"/>
        </w:rPr>
        <w:t>按照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流片费用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%给予最高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2000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万元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eastAsia="zh-CN"/>
        </w:rPr>
        <w:t>补贴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后续批量生产流片按照流片费用5%给予3年每年最高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500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万元补贴</w:t>
      </w:r>
      <w:r>
        <w:rPr>
          <w:rFonts w:hint="eastAsia" w:eastAsia="方正仿宋_GBK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对设计企业使用本地封装测试服务的，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eastAsia="zh-CN"/>
        </w:rPr>
        <w:t>按照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封测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费用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较上一年费用增量的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%给予最高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万元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eastAsia="zh-CN"/>
        </w:rPr>
        <w:t>补贴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712" w:firstLineChars="200"/>
        <w:textAlignment w:val="auto"/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64" w:firstLineChars="200"/>
        <w:jc w:val="center"/>
        <w:textAlignment w:val="auto"/>
        <w:rPr>
          <w:rFonts w:hint="default" w:ascii="Times New Roman" w:hAnsi="Times New Roman" w:eastAsia="方正黑体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第三章 晶圆制造、封装测试政策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pacing w:val="6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</w:rPr>
        <w:t xml:space="preserve">条  </w:t>
      </w:r>
      <w:r>
        <w:rPr>
          <w:rFonts w:hint="eastAsia" w:ascii="Times New Roman" w:hAnsi="Times New Roman" w:eastAsia="方正楷体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支持企业加大项目投入。</w:t>
      </w:r>
      <w:r>
        <w:rPr>
          <w:rFonts w:hint="default" w:ascii="Times New Roman" w:hAnsi="Times New Roman" w:eastAsia="方正仿宋" w:cs="Times New Roman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对</w:t>
      </w:r>
      <w:r>
        <w:rPr>
          <w:rFonts w:hint="default" w:ascii="Times New Roman" w:hAnsi="Times New Roman" w:eastAsia="方正仿宋_GBK" w:cs="Times New Roman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新引进的</w:t>
      </w:r>
      <w:r>
        <w:rPr>
          <w:rFonts w:hint="default" w:ascii="Times New Roman" w:hAnsi="Times New Roman" w:eastAsia="方正仿宋" w:cs="Times New Roman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总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投资5亿元以下</w:t>
      </w:r>
      <w:r>
        <w:rPr>
          <w:rFonts w:hint="default" w:ascii="Times New Roman" w:hAnsi="Times New Roman" w:eastAsia="方正仿宋" w:cs="Times New Roman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集成电路晶圆制造、封测项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目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以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及实施生产线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技术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升级改造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本地集成电路企业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，且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固定资产投资超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1000万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元的，按照固定资产实际投资额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%给予最高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2000万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元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补贴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，单个项目补贴额最高不超过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4000万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元。对特别重大的项目，按“一事一议”原则给予支持。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方正楷体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 xml:space="preserve">第四条 </w:t>
      </w:r>
      <w:r>
        <w:rPr>
          <w:rFonts w:hint="eastAsia" w:ascii="Times New Roman" w:hAnsi="Times New Roman" w:eastAsia="方正楷体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支持企业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</w:rPr>
        <w:t>制造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封测</w:t>
      </w:r>
      <w:r>
        <w:rPr>
          <w:rFonts w:hint="eastAsia" w:ascii="Times New Roman" w:hAnsi="Times New Roman" w:eastAsia="方正楷体" w:cs="Times New Roman"/>
          <w:b w:val="0"/>
          <w:color w:val="auto"/>
          <w:sz w:val="32"/>
          <w:szCs w:val="32"/>
          <w:highlight w:val="none"/>
          <w:lang w:val="en-US" w:eastAsia="zh-CN"/>
        </w:rPr>
        <w:t>服务能力提升。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</w:rPr>
        <w:t>对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  <w:lang w:val="en-US" w:eastAsia="zh-CN"/>
        </w:rPr>
        <w:t>晶圆制造企业为本地设计企业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</w:rPr>
        <w:t>提供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  <w:lang w:val="en-US" w:eastAsia="zh-CN"/>
        </w:rPr>
        <w:t>流片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</w:rPr>
        <w:t>代工服务的，按照代工费用的</w:t>
      </w:r>
      <w:r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</w:rPr>
        <w:t>%给予最高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  <w:lang w:val="en-US" w:eastAsia="zh-CN"/>
        </w:rPr>
        <w:t>1亿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</w:rPr>
        <w:t>元</w:t>
      </w:r>
      <w:r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  <w:highlight w:val="none"/>
          <w:lang w:val="en-US" w:eastAsia="zh-CN"/>
        </w:rPr>
        <w:t>补贴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  <w:lang w:val="en-US" w:eastAsia="zh-CN"/>
        </w:rPr>
        <w:t>对</w:t>
      </w:r>
      <w:r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  <w:highlight w:val="none"/>
          <w:lang w:val="en-US" w:eastAsia="zh-CN"/>
        </w:rPr>
        <w:t>已量产的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  <w:lang w:val="en-US" w:eastAsia="zh-CN"/>
        </w:rPr>
        <w:t>封测企业为本地设计企业提供先进封装及高可靠性封装测试服务的，按照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  <w:lang w:eastAsia="zh-CN"/>
        </w:rPr>
        <w:t>封装测试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</w:rPr>
        <w:t>费用的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  <w:lang w:val="en-US" w:eastAsia="zh-CN"/>
        </w:rPr>
        <w:t>给予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</w:rPr>
        <w:t>最高</w:t>
      </w:r>
      <w:r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</w:rPr>
        <w:t>00万元</w:t>
      </w:r>
      <w:r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  <w:highlight w:val="none"/>
          <w:lang w:val="en-US" w:eastAsia="zh-CN"/>
        </w:rPr>
        <w:t>补贴；对新投产的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  <w:lang w:val="en-US" w:eastAsia="zh-CN"/>
        </w:rPr>
        <w:t>先进封装及高可靠性</w:t>
      </w:r>
      <w:r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  <w:highlight w:val="none"/>
          <w:lang w:val="en-US" w:eastAsia="zh-CN"/>
        </w:rPr>
        <w:t>封装产线，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</w:rPr>
        <w:t>按照</w:t>
      </w:r>
      <w:r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  <w:highlight w:val="none"/>
          <w:lang w:val="en-US" w:eastAsia="zh-CN"/>
        </w:rPr>
        <w:t>服务订单费用的10%给予最高500万元补贴。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textAlignment w:val="auto"/>
        <w:outlineLvl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jc w:val="center"/>
        <w:textAlignment w:val="auto"/>
        <w:outlineLvl w:val="0"/>
        <w:rPr>
          <w:rFonts w:hint="default" w:ascii="Times New Roman" w:hAnsi="Times New Roman" w:eastAsia="方正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" w:cs="Times New Roman"/>
          <w:color w:val="auto"/>
          <w:sz w:val="32"/>
          <w:szCs w:val="32"/>
          <w:highlight w:val="none"/>
          <w:lang w:val="en-US" w:eastAsia="zh-CN"/>
        </w:rPr>
        <w:t xml:space="preserve">第四章 </w:t>
      </w:r>
      <w:r>
        <w:rPr>
          <w:rFonts w:hint="eastAsia" w:ascii="Times New Roman" w:hAnsi="Times New Roman" w:eastAsia="方正黑体" w:cs="Times New Roman"/>
          <w:color w:val="auto"/>
          <w:sz w:val="32"/>
          <w:szCs w:val="32"/>
          <w:highlight w:val="none"/>
          <w:lang w:val="en-US" w:eastAsia="zh-CN"/>
        </w:rPr>
        <w:t>设</w:t>
      </w:r>
      <w:r>
        <w:rPr>
          <w:rFonts w:hint="default" w:ascii="Times New Roman" w:hAnsi="Times New Roman" w:eastAsia="方正黑体" w:cs="Times New Roman"/>
          <w:color w:val="auto"/>
          <w:sz w:val="32"/>
          <w:szCs w:val="32"/>
          <w:highlight w:val="none"/>
          <w:lang w:val="en-US" w:eastAsia="zh-CN"/>
        </w:rPr>
        <w:t>备</w:t>
      </w:r>
      <w:r>
        <w:rPr>
          <w:rFonts w:hint="eastAsia" w:ascii="Times New Roman" w:hAnsi="Times New Roman" w:eastAsia="方正黑体" w:cs="Times New Roman"/>
          <w:color w:val="auto"/>
          <w:sz w:val="32"/>
          <w:szCs w:val="32"/>
          <w:highlight w:val="none"/>
          <w:lang w:val="en-US" w:eastAsia="zh-CN"/>
        </w:rPr>
        <w:t>（零部件）、</w:t>
      </w:r>
      <w:r>
        <w:rPr>
          <w:rFonts w:hint="default" w:ascii="Times New Roman" w:hAnsi="Times New Roman" w:eastAsia="方正黑体" w:cs="Times New Roman"/>
          <w:color w:val="auto"/>
          <w:sz w:val="32"/>
          <w:szCs w:val="32"/>
          <w:highlight w:val="none"/>
          <w:lang w:val="en-US" w:eastAsia="zh-CN"/>
        </w:rPr>
        <w:t>材料政策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第五条  </w:t>
      </w:r>
      <w:r>
        <w:rPr>
          <w:rFonts w:hint="eastAsia" w:ascii="Times New Roman" w:hAnsi="Times New Roman" w:eastAsia="方正楷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加快上下游供应链项目落地。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对高新区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新落地或开展技术改造以及高新区协同引进、落地合作园区的设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（零部件）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、材料等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配套企业，且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固定资产投资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超5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00万元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的，按照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固定资产投资额10%给予最高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000万元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补贴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，单个项目补贴额最高不超过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000万元。对特别重大的项目，按“一事一议”原则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给予支持。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" w:cs="Times New Roman"/>
          <w:b w:val="0"/>
          <w:bCs w:val="0"/>
          <w:color w:val="auto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z w:val="32"/>
          <w:szCs w:val="32"/>
          <w:highlight w:val="none"/>
        </w:rPr>
        <w:t xml:space="preserve">条 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z w:val="32"/>
          <w:szCs w:val="32"/>
          <w:highlight w:val="none"/>
        </w:rPr>
        <w:t>支持</w:t>
      </w:r>
      <w:r>
        <w:rPr>
          <w:rFonts w:hint="eastAsia" w:ascii="Times New Roman" w:hAnsi="Times New Roman" w:eastAsia="方正楷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设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z w:val="32"/>
          <w:szCs w:val="32"/>
          <w:highlight w:val="none"/>
        </w:rPr>
        <w:t>备</w:t>
      </w:r>
      <w:r>
        <w:rPr>
          <w:rFonts w:hint="eastAsia" w:ascii="Times New Roman" w:hAnsi="Times New Roman" w:eastAsia="方正楷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z w:val="32"/>
          <w:szCs w:val="32"/>
          <w:highlight w:val="none"/>
        </w:rPr>
        <w:t>材料验证应用。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集成电路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协助本地及合作园区企业开展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自主安全可控设备（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零部件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、材料等配套产品相关验证的，按照验证费用的50%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给予补贴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单台设备验证最高不超过100万元，每批材料验证最高不超过50万元，每家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企业最高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不超过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1000万元。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对集成电路设备（零部件）、材料企业产品进入国内外知名企业进行验证的，按不超过进场验证费用的20%给予补贴，给予最高500万元补贴。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对本地及合作园区企业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成功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研制首台套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（首批次）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并实现销售的，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按照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产品实际销售总额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的3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0%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给予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最高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000万元奖励。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textAlignment w:val="auto"/>
        <w:outlineLvl w:val="0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第七条 </w:t>
      </w:r>
      <w:r>
        <w:rPr>
          <w:rFonts w:hint="eastAsia" w:ascii="Times New Roman" w:hAnsi="Times New Roman" w:eastAsia="方正楷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支持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供应链</w:t>
      </w:r>
      <w:r>
        <w:rPr>
          <w:rFonts w:hint="eastAsia" w:ascii="Times New Roman" w:hAnsi="Times New Roman" w:eastAsia="方正楷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协同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对集成电路企业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首次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采购本地及合作园区企业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（零部件）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、材料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、工业软件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等产品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形成供应链的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按照购销合同总额的10%（供需双方各5%）给予最高500万元补贴；金额持续增长的，按照购销合同总额的5%（供需双方各2.5%）给予最高500万元补贴，单个企业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补贴额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每年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最高不超过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000万元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tabs>
          <w:tab w:val="center" w:pos="4450"/>
        </w:tabs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64" w:firstLineChars="200"/>
        <w:jc w:val="center"/>
        <w:textAlignment w:val="auto"/>
        <w:rPr>
          <w:rFonts w:hint="default" w:ascii="Times New Roman" w:hAnsi="Times New Roman" w:eastAsia="方正黑体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第五章 产业人才引育政策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eastAsia="zh-CN"/>
        </w:rPr>
        <w:tab/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八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</w:rPr>
        <w:t>条  支持</w:t>
      </w:r>
      <w:r>
        <w:rPr>
          <w:rFonts w:hint="eastAsia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企业聘任关键人才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IC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设计企业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人力资源成本支出超过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0万元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制造、封测、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（零部件）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、材料企业人力资源成本支出超过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0万元的，按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人才使用效能，分梯度给予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每人每年最高50万元，用于人才绩效奖励。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 w:bidi="ar-SA"/>
        </w:rPr>
        <w:t xml:space="preserve">第九条 </w:t>
      </w:r>
      <w:r>
        <w:rPr>
          <w:rFonts w:hint="eastAsia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 w:bidi="ar-SA"/>
        </w:rPr>
        <w:t>加快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 w:bidi="ar-SA"/>
        </w:rPr>
        <w:t>紧缺适用型人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</w:rPr>
        <w:t>才培养</w:t>
      </w:r>
      <w:r>
        <w:rPr>
          <w:rFonts w:hint="eastAsia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对本地</w:t>
      </w:r>
      <w:r>
        <w:rPr>
          <w:rFonts w:hint="default" w:ascii="Times New Roman" w:hAnsi="Times New Roman" w:eastAsia="方正仿宋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企业主导与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国际国内高校、科研院所</w:t>
      </w:r>
      <w:r>
        <w:rPr>
          <w:rFonts w:hint="default" w:ascii="Times New Roman" w:hAnsi="Times New Roman" w:eastAsia="方正仿宋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共建集成电路人才实训基地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的</w:t>
      </w:r>
      <w:r>
        <w:rPr>
          <w:rFonts w:hint="default" w:ascii="Times New Roman" w:hAnsi="Times New Roman" w:eastAsia="方正仿宋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，按照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企业</w:t>
      </w:r>
      <w:r>
        <w:rPr>
          <w:rFonts w:hint="default" w:ascii="Times New Roman" w:hAnsi="Times New Roman" w:eastAsia="方正仿宋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建设投入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费用</w:t>
      </w:r>
      <w:r>
        <w:rPr>
          <w:rFonts w:hint="default" w:ascii="Times New Roman" w:hAnsi="Times New Roman" w:eastAsia="方正仿宋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的20%给予基地最高500万元的一次性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补贴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。对本地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晶圆制造、封测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企业招用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届毕业生并提供6个月以上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工艺技术带教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培训的，按照培训结束后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企业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实际留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岗</w:t>
      </w:r>
      <w:r>
        <w:rPr>
          <w:rFonts w:hint="default" w:ascii="Times New Roman" w:hAnsi="Times New Roman" w:eastAsia="方正仿宋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人数给予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5000</w:t>
      </w:r>
      <w:r>
        <w:rPr>
          <w:rFonts w:hint="default" w:ascii="Times New Roman" w:hAnsi="Times New Roman" w:eastAsia="方正仿宋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元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/人</w:t>
      </w:r>
      <w:r>
        <w:rPr>
          <w:rFonts w:hint="default" w:ascii="Times New Roman" w:hAnsi="Times New Roman" w:eastAsia="方正仿宋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最高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default" w:ascii="Times New Roman" w:hAnsi="Times New Roman" w:eastAsia="方正仿宋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00万元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补贴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，用于企业人才培养；给予带教导师1万元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/年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的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带教补贴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eastAsia="方正仿宋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对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本地</w:t>
      </w:r>
      <w:r>
        <w:rPr>
          <w:rFonts w:hint="default" w:ascii="Times New Roman" w:hAnsi="Times New Roman" w:eastAsia="方正仿宋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企业委托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专业培训机构</w:t>
      </w:r>
      <w:r>
        <w:rPr>
          <w:rFonts w:hint="default" w:ascii="Times New Roman" w:hAnsi="Times New Roman" w:eastAsia="方正仿宋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开展工程师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技术能力</w:t>
      </w:r>
      <w:r>
        <w:rPr>
          <w:rFonts w:hint="default" w:ascii="Times New Roman" w:hAnsi="Times New Roman" w:eastAsia="方正仿宋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提升培训的，按照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企业</w:t>
      </w:r>
      <w:r>
        <w:rPr>
          <w:rFonts w:hint="default" w:ascii="Times New Roman" w:hAnsi="Times New Roman" w:eastAsia="方正仿宋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实际支付培训费用的20%给予最高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5</w:t>
      </w:r>
      <w:r>
        <w:rPr>
          <w:rFonts w:hint="default" w:ascii="Times New Roman" w:hAnsi="Times New Roman" w:eastAsia="方正仿宋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0万元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的培训</w:t>
      </w:r>
      <w:r>
        <w:rPr>
          <w:rFonts w:hint="default" w:ascii="Times New Roman" w:hAnsi="Times New Roman" w:eastAsia="方正仿宋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补贴。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center"/>
        <w:textAlignment w:val="auto"/>
        <w:rPr>
          <w:rFonts w:hint="default" w:ascii="Times New Roman" w:hAnsi="Times New Roman" w:eastAsia="方正黑体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center"/>
        <w:textAlignment w:val="auto"/>
        <w:rPr>
          <w:rFonts w:hint="default" w:ascii="Times New Roman" w:hAnsi="Times New Roman" w:eastAsia="方正黑体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第六章 产业生态</w:t>
      </w:r>
      <w:r>
        <w:rPr>
          <w:rFonts w:hint="eastAsia" w:ascii="Times New Roman" w:hAnsi="Times New Roman" w:eastAsia="方正黑体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跃</w:t>
      </w:r>
      <w:r>
        <w:rPr>
          <w:rFonts w:hint="default" w:ascii="Times New Roman" w:hAnsi="Times New Roman" w:eastAsia="方正黑体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升政策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十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</w:rPr>
        <w:t xml:space="preserve">条  </w:t>
      </w: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支持企业做大做强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对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IC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设计企业年度主营业务收入首次突破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1亿元、3亿元、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5亿、10亿的，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ar"/>
        </w:rPr>
        <w:t>按照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晋档补差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原则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bidi="ar"/>
        </w:rPr>
        <w:t>给予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ar"/>
        </w:rPr>
        <w:t>500万元、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00万元、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00万元、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00万元一次性奖励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对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晶圆制造、封装测试企业年度主营业务收入首次突破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3亿元、5亿元、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10亿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元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、20亿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元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的，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ar"/>
        </w:rPr>
        <w:t>按照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晋档补差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原则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bidi="ar"/>
        </w:rPr>
        <w:t>给予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00万元、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00万元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、9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00万元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、1100万元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一次性奖励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对设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零部件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材料企业年度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集成电路相关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主营业务收入首次突破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5000万、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1亿、3亿、5亿的，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ar"/>
        </w:rPr>
        <w:t>按照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晋档补差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原则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bidi="ar"/>
        </w:rPr>
        <w:t>给予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00万元、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00万元、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00万元和1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00万元一次性奖励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。鼓励企业将以上奖励资金部分用于对企业核心管理人员、研发人员等有突出贡献人员的个人奖补。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第十一条 培育</w:t>
      </w:r>
      <w:r>
        <w:rPr>
          <w:rFonts w:hint="eastAsia" w:ascii="Times New Roman" w:hAnsi="Times New Roman" w:eastAsia="方正楷体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本地</w:t>
      </w:r>
      <w:r>
        <w:rPr>
          <w:rFonts w:hint="default" w:ascii="Times New Roman" w:hAnsi="Times New Roman" w:eastAsia="方正楷体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隐形冠军。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eastAsia="zh-CN"/>
        </w:rPr>
        <w:t>对首次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通过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eastAsia="zh-CN"/>
        </w:rPr>
        <w:t>“国家鼓励的重点集成电路设计企业”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备案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eastAsia="zh-CN"/>
        </w:rPr>
        <w:t>的，给予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eastAsia="zh-CN"/>
        </w:rPr>
        <w:t>0万元一次性奖励。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对首次获评国家级制造业单项冠军示范企业、产品的集成电路企业，分别给予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0万元、50万元一次性奖励。对首次获评国家级专精特新“小巨人”企业、省级专精特新企业的集成电路企业，分别给予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0万元、30万元一次性奖励。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pacing w:val="6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第十</w:t>
      </w:r>
      <w:r>
        <w:rPr>
          <w:rFonts w:hint="eastAsia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 xml:space="preserve">条  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</w:rPr>
        <w:t>支持高水平创新平台建设</w:t>
      </w:r>
      <w:r>
        <w:rPr>
          <w:rFonts w:hint="eastAsia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对新获批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集成电路领域省级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以上制造业创新中心、产业创新中心、技术创新中心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的，给予最高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00万元一次性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奖励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eastAsia="zh-CN"/>
        </w:rPr>
        <w:t>对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有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eastAsia="zh-CN"/>
        </w:rPr>
        <w:t>持续投入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eastAsia="zh-CN"/>
        </w:rPr>
        <w:t>国家级创新平台，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</w:rPr>
        <w:t>按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照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</w:rPr>
        <w:t>平台设备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</w:rPr>
        <w:t>软件购置费用的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</w:rPr>
        <w:t>0%给予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最高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</w:rPr>
        <w:t>00万元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eastAsia="zh-CN"/>
        </w:rPr>
        <w:t>补贴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textAlignment w:val="auto"/>
        <w:outlineLvl w:val="0"/>
        <w:rPr>
          <w:rFonts w:hint="default" w:ascii="Times New Roman" w:hAnsi="Times New Roman" w:eastAsia="方正仿宋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Cs/>
          <w:color w:val="auto"/>
          <w:sz w:val="32"/>
          <w:szCs w:val="32"/>
          <w:highlight w:val="none"/>
          <w:lang w:val="en-US" w:eastAsia="zh-CN"/>
        </w:rPr>
        <w:t>第十</w:t>
      </w:r>
      <w:r>
        <w:rPr>
          <w:rFonts w:hint="eastAsia" w:ascii="Times New Roman" w:hAnsi="Times New Roman" w:eastAsia="方正楷体_GBK" w:cs="Times New Roman"/>
          <w:bCs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  <w:bCs/>
          <w:color w:val="auto"/>
          <w:sz w:val="32"/>
          <w:szCs w:val="32"/>
          <w:highlight w:val="none"/>
          <w:lang w:val="en-US" w:eastAsia="zh-CN"/>
        </w:rPr>
        <w:t>条  支持企业开展关键技术攻关。</w:t>
      </w:r>
      <w:r>
        <w:rPr>
          <w:rFonts w:hint="default" w:ascii="Times New Roman" w:hAnsi="Times New Roman" w:eastAsia="方正仿宋" w:cs="Times New Roman"/>
          <w:bCs w:val="0"/>
          <w:color w:val="auto"/>
          <w:spacing w:val="18"/>
          <w:sz w:val="32"/>
          <w:szCs w:val="32"/>
          <w:highlight w:val="none"/>
          <w:lang w:val="en-US" w:eastAsia="zh-CN"/>
        </w:rPr>
        <w:t>对</w:t>
      </w:r>
      <w:r>
        <w:rPr>
          <w:rFonts w:hint="default" w:ascii="Times New Roman" w:hAnsi="Times New Roman" w:eastAsia="方正仿宋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承担国家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集成电路</w:t>
      </w:r>
      <w:r>
        <w:rPr>
          <w:rFonts w:hint="default" w:ascii="Times New Roman" w:hAnsi="Times New Roman" w:eastAsia="方正仿宋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领域重大项目、重大技术攻关计划和重点研发计划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的</w:t>
      </w:r>
      <w:r>
        <w:rPr>
          <w:rFonts w:hint="default" w:ascii="Times New Roman" w:hAnsi="Times New Roman" w:eastAsia="方正仿宋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根据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项目</w:t>
      </w:r>
      <w:r>
        <w:rPr>
          <w:rFonts w:hint="default" w:ascii="Times New Roman" w:hAnsi="Times New Roman" w:eastAsia="方正仿宋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国拨资金到位进度，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按照1</w:t>
      </w:r>
      <w:r>
        <w:rPr>
          <w:rFonts w:hint="default" w:ascii="Times New Roman" w:hAnsi="Times New Roman" w:eastAsia="方正仿宋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: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0.5比例</w:t>
      </w:r>
      <w:r>
        <w:rPr>
          <w:rFonts w:hint="default" w:ascii="Times New Roman" w:hAnsi="Times New Roman" w:eastAsia="方正仿宋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给予最高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default" w:ascii="Times New Roman" w:hAnsi="Times New Roman" w:eastAsia="方正仿宋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000万元的配套资金支持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eastAsia="方正仿宋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64" w:firstLineChars="200"/>
        <w:textAlignment w:val="auto"/>
        <w:outlineLvl w:val="0"/>
        <w:rPr>
          <w:rFonts w:hint="eastAsia" w:ascii="Times New Roman" w:hAnsi="Times New Roman" w:eastAsia="方正仿宋" w:cs="Times New Roman"/>
          <w:color w:val="auto"/>
          <w:spacing w:val="18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</w:rPr>
        <w:t>条  鼓励企业通过资质认证。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对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首次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通过AEC-Q认证、ISO26262等车规级标准认证的，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按照认证费用的30%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给予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万元</w:t>
      </w:r>
      <w:r>
        <w:rPr>
          <w:rFonts w:hint="default" w:ascii="Times New Roman" w:hAnsi="Times New Roman" w:eastAsia="方正仿宋" w:cs="Times New Roman"/>
          <w:bCs w:val="0"/>
          <w:color w:val="auto"/>
          <w:spacing w:val="18"/>
          <w:sz w:val="32"/>
          <w:szCs w:val="32"/>
          <w:highlight w:val="none"/>
          <w:lang w:val="en-US" w:eastAsia="zh-CN"/>
        </w:rPr>
        <w:t>/个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一次性奖励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对首次通过车规级芯片测试认证的平台，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给予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0万元/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个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一次性奖励</w:t>
      </w:r>
      <w:r>
        <w:rPr>
          <w:rFonts w:hint="eastAsia" w:ascii="Times New Roman" w:hAnsi="Times New Roman" w:eastAsia="方正仿宋_GBK" w:cs="Times New Roman"/>
          <w:b/>
          <w:bCs/>
          <w:color w:val="auto"/>
          <w:spacing w:val="18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零部件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方正仿宋" w:cs="Times New Roman"/>
          <w:i w:val="0"/>
          <w:iCs w:val="0"/>
          <w:caps w:val="0"/>
          <w:color w:val="auto"/>
          <w:spacing w:val="18"/>
          <w:sz w:val="32"/>
          <w:szCs w:val="32"/>
          <w:highlight w:val="none"/>
          <w:shd w:val="clear"/>
          <w:lang w:val="en-US" w:eastAsia="zh-CN"/>
        </w:rPr>
        <w:t>材料</w:t>
      </w:r>
      <w:r>
        <w:rPr>
          <w:rFonts w:hint="default" w:ascii="Times New Roman" w:hAnsi="Times New Roman" w:eastAsia="方正仿宋" w:cs="Times New Roman"/>
          <w:i w:val="0"/>
          <w:iCs w:val="0"/>
          <w:caps w:val="0"/>
          <w:color w:val="auto"/>
          <w:spacing w:val="18"/>
          <w:sz w:val="32"/>
          <w:szCs w:val="32"/>
          <w:highlight w:val="none"/>
          <w:shd w:val="clear"/>
        </w:rPr>
        <w:t>企业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18"/>
          <w:sz w:val="32"/>
          <w:szCs w:val="32"/>
          <w:highlight w:val="none"/>
          <w:shd w:val="clear"/>
          <w:lang w:val="en-US" w:eastAsia="zh-CN"/>
        </w:rPr>
        <w:t>产品</w:t>
      </w:r>
      <w:r>
        <w:rPr>
          <w:rFonts w:hint="default" w:ascii="Times New Roman" w:hAnsi="Times New Roman" w:eastAsia="方正仿宋" w:cs="Times New Roman"/>
          <w:i w:val="0"/>
          <w:iCs w:val="0"/>
          <w:caps w:val="0"/>
          <w:color w:val="auto"/>
          <w:spacing w:val="18"/>
          <w:sz w:val="32"/>
          <w:szCs w:val="32"/>
          <w:highlight w:val="none"/>
          <w:shd w:val="clear"/>
          <w:lang w:val="en-US" w:eastAsia="zh-CN"/>
        </w:rPr>
        <w:t>通过</w:t>
      </w:r>
      <w:r>
        <w:rPr>
          <w:rFonts w:hint="default" w:ascii="Times New Roman" w:hAnsi="Times New Roman" w:eastAsia="方正仿宋" w:cs="Times New Roman"/>
          <w:i w:val="0"/>
          <w:iCs w:val="0"/>
          <w:caps w:val="0"/>
          <w:color w:val="auto"/>
          <w:spacing w:val="18"/>
          <w:sz w:val="32"/>
          <w:szCs w:val="32"/>
          <w:highlight w:val="none"/>
          <w:shd w:val="clear"/>
        </w:rPr>
        <w:t>SEMI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18"/>
          <w:sz w:val="32"/>
          <w:szCs w:val="32"/>
          <w:highlight w:val="none"/>
          <w:shd w:val="clear"/>
          <w:lang w:val="en-US" w:eastAsia="zh-CN"/>
        </w:rPr>
        <w:t>标准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18"/>
          <w:sz w:val="32"/>
          <w:szCs w:val="32"/>
          <w:highlight w:val="none"/>
          <w:shd w:val="clear"/>
          <w:lang w:val="en-US" w:eastAsia="zh-CN"/>
        </w:rPr>
        <w:t>认证的，按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18"/>
          <w:sz w:val="32"/>
          <w:szCs w:val="32"/>
          <w:highlight w:val="none"/>
          <w:shd w:val="clear"/>
          <w:lang w:val="en-US" w:eastAsia="zh-CN"/>
        </w:rPr>
        <w:t>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18"/>
          <w:sz w:val="32"/>
          <w:szCs w:val="32"/>
          <w:highlight w:val="none"/>
          <w:shd w:val="clear"/>
          <w:lang w:val="en-US" w:eastAsia="zh-CN"/>
        </w:rPr>
        <w:t>认证费用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18"/>
          <w:sz w:val="32"/>
          <w:szCs w:val="32"/>
          <w:highlight w:val="none"/>
          <w:shd w:val="clear"/>
          <w:lang w:val="en-US" w:eastAsia="zh-CN"/>
        </w:rPr>
        <w:t>的50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18"/>
          <w:sz w:val="32"/>
          <w:szCs w:val="32"/>
          <w:highlight w:val="none"/>
          <w:shd w:val="clear"/>
          <w:lang w:val="en-US" w:eastAsia="zh-CN"/>
        </w:rPr>
        <w:t>%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18"/>
          <w:sz w:val="32"/>
          <w:szCs w:val="32"/>
          <w:highlight w:val="none"/>
          <w:shd w:val="clear"/>
          <w:lang w:val="en-US" w:eastAsia="zh-CN"/>
        </w:rPr>
        <w:t>给予</w:t>
      </w:r>
      <w:r>
        <w:rPr>
          <w:rFonts w:hint="default" w:ascii="Times New Roman" w:hAnsi="Times New Roman" w:eastAsia="方正仿宋" w:cs="Times New Roman"/>
          <w:i w:val="0"/>
          <w:iCs w:val="0"/>
          <w:caps w:val="0"/>
          <w:color w:val="auto"/>
          <w:spacing w:val="18"/>
          <w:sz w:val="32"/>
          <w:szCs w:val="32"/>
          <w:highlight w:val="none"/>
          <w:shd w:val="clear"/>
        </w:rPr>
        <w:t>最高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18"/>
          <w:sz w:val="32"/>
          <w:szCs w:val="32"/>
          <w:highlight w:val="none"/>
          <w:shd w:val="clear"/>
          <w:lang w:val="en-US" w:eastAsia="zh-CN"/>
        </w:rPr>
        <w:t>100万</w:t>
      </w:r>
      <w:r>
        <w:rPr>
          <w:rFonts w:hint="default" w:ascii="Times New Roman" w:hAnsi="Times New Roman" w:eastAsia="方正仿宋" w:cs="Times New Roman"/>
          <w:i w:val="0"/>
          <w:iCs w:val="0"/>
          <w:caps w:val="0"/>
          <w:color w:val="auto"/>
          <w:spacing w:val="18"/>
          <w:sz w:val="32"/>
          <w:szCs w:val="32"/>
          <w:highlight w:val="none"/>
          <w:shd w:val="clear"/>
        </w:rPr>
        <w:t>元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/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个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一次性奖励</w:t>
      </w:r>
      <w:r>
        <w:rPr>
          <w:rFonts w:hint="default" w:ascii="Times New Roman" w:hAnsi="Times New Roman" w:eastAsia="方正仿宋" w:cs="Times New Roman"/>
          <w:i w:val="0"/>
          <w:iCs w:val="0"/>
          <w:caps w:val="0"/>
          <w:color w:val="auto"/>
          <w:spacing w:val="18"/>
          <w:sz w:val="32"/>
          <w:szCs w:val="32"/>
          <w:highlight w:val="none"/>
          <w:shd w:val="clear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单个企业每年最高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奖励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</w:rPr>
        <w:t>00万元</w:t>
      </w:r>
      <w:r>
        <w:rPr>
          <w:rFonts w:hint="eastAsia" w:ascii="Times New Roman" w:hAnsi="Times New Roman" w:eastAsia="方正仿宋_GBK" w:cs="Times New Roman"/>
          <w:color w:val="auto"/>
          <w:spacing w:val="18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64" w:firstLineChars="200"/>
        <w:textAlignment w:val="auto"/>
        <w:outlineLvl w:val="0"/>
        <w:rPr>
          <w:rFonts w:hint="default" w:ascii="Times New Roman" w:hAnsi="Times New Roman" w:eastAsia="方正仿宋" w:cs="Times New Roman"/>
          <w:color w:val="auto"/>
          <w:spacing w:val="18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</w:rPr>
        <w:t xml:space="preserve">条  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促进行业资源整合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</w:rPr>
        <w:t>对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高校、科研院所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</w:rPr>
        <w:t>将仪器设备等科学装置开放给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本地集成电路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</w:rPr>
        <w:t>企业使用的，按照服务费用的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</w:rPr>
        <w:t>0%给予最高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</w:rPr>
        <w:t>00万元奖励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鼓励将以上奖励资金部分用于对运营团队的个人奖补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对服务本地集成电路产业，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/>
        </w:rPr>
        <w:t>推动区域产业竞争力及行业影响力提升的行业组织，给予每年最高不超过1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8"/>
          <w:kern w:val="2"/>
          <w:sz w:val="32"/>
          <w:szCs w:val="32"/>
          <w:highlight w:val="none"/>
          <w:lang w:val="en-US" w:eastAsia="zh-CN"/>
        </w:rPr>
        <w:t>0万元奖励。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黑体" w:cs="Times New Roman"/>
          <w:color w:val="auto"/>
          <w:spacing w:val="6"/>
          <w:kern w:val="0"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方正黑体" w:cs="Times New Roman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七</w:t>
      </w:r>
      <w:r>
        <w:rPr>
          <w:rFonts w:hint="default" w:ascii="Times New Roman" w:hAnsi="Times New Roman" w:eastAsia="方正黑体" w:cs="Times New Roman"/>
          <w:color w:val="auto"/>
          <w:spacing w:val="6"/>
          <w:kern w:val="0"/>
          <w:sz w:val="32"/>
          <w:szCs w:val="32"/>
          <w:highlight w:val="none"/>
        </w:rPr>
        <w:t>章  附则</w:t>
      </w:r>
    </w:p>
    <w:p>
      <w:pPr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 w:bidi="ar-SA"/>
        </w:rPr>
        <w:t>第十</w:t>
      </w:r>
      <w:r>
        <w:rPr>
          <w:rFonts w:hint="eastAsia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 w:bidi="ar-SA"/>
        </w:rPr>
        <w:t>六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 w:bidi="ar-SA"/>
        </w:rPr>
        <w:t>条  政策解释。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highlight w:val="none"/>
          <w:lang w:val="en-US" w:eastAsia="zh-CN" w:bidi="ar-SA"/>
        </w:rPr>
        <w:t>本政策实行预算管理和总量控制。本政策与其他政策相重叠事项按照就高不重复原则执行。已享受“一企一策”相关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highlight w:val="none"/>
          <w:lang w:val="en-US" w:eastAsia="zh-CN" w:bidi="ar-SA"/>
        </w:rPr>
        <w:t>政策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highlight w:val="none"/>
          <w:lang w:val="en-US" w:eastAsia="zh-CN" w:bidi="ar-SA"/>
        </w:rPr>
        <w:t>的企业不再重复享受此政策类似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highlight w:val="none"/>
          <w:lang w:val="en-US" w:eastAsia="zh-CN" w:bidi="ar-SA"/>
        </w:rPr>
        <w:t>条款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" w:cs="Times New Roman"/>
          <w:color w:val="auto"/>
          <w:spacing w:val="6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highlight w:val="none"/>
          <w:lang w:val="en-US" w:eastAsia="zh-CN" w:bidi="ar-SA"/>
        </w:rPr>
        <w:t>本政策</w:t>
      </w:r>
      <w:r>
        <w:rPr>
          <w:rFonts w:hint="default" w:ascii="Times New Roman" w:hAnsi="Times New Roman" w:eastAsia="方正仿宋" w:cs="Times New Roman"/>
          <w:color w:val="auto"/>
          <w:spacing w:val="6"/>
          <w:sz w:val="32"/>
          <w:szCs w:val="32"/>
          <w:highlight w:val="none"/>
        </w:rPr>
        <w:t>属于《成都市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  <w:highlight w:val="none"/>
          <w:lang w:val="en-US" w:eastAsia="zh-CN"/>
        </w:rPr>
        <w:t>加快</w:t>
      </w:r>
      <w:r>
        <w:rPr>
          <w:rFonts w:hint="default" w:ascii="Times New Roman" w:hAnsi="Times New Roman" w:eastAsia="方正仿宋" w:cs="Times New Roman"/>
          <w:color w:val="auto"/>
          <w:spacing w:val="6"/>
          <w:sz w:val="32"/>
          <w:szCs w:val="32"/>
          <w:highlight w:val="none"/>
        </w:rPr>
        <w:t>集成电路产业高质量发展的若干政策》的成都高新区配套政策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" w:cs="Times New Roman"/>
          <w:color w:val="auto"/>
          <w:spacing w:val="6"/>
          <w:sz w:val="32"/>
          <w:szCs w:val="32"/>
          <w:highlight w:val="none"/>
        </w:rPr>
        <w:t>与市级政策类似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  <w:highlight w:val="none"/>
          <w:lang w:val="en-US" w:eastAsia="zh-CN"/>
        </w:rPr>
        <w:t>条款（第一条、第二条）</w:t>
      </w:r>
      <w:r>
        <w:rPr>
          <w:rFonts w:hint="default" w:ascii="Times New Roman" w:hAnsi="Times New Roman" w:eastAsia="方正仿宋" w:cs="Times New Roman"/>
          <w:color w:val="auto"/>
          <w:spacing w:val="6"/>
          <w:sz w:val="32"/>
          <w:szCs w:val="32"/>
          <w:highlight w:val="none"/>
        </w:rPr>
        <w:t>，经审核认定，超出市级支持的部分由成都高新区给予支持。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highlight w:val="none"/>
          <w:lang w:val="en-US" w:eastAsia="zh-CN" w:bidi="ar-SA"/>
        </w:rPr>
        <w:t>本政策由成都高新区管委会负责解释，具体实施细则由成都高新区电子信息产业局制定。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64" w:firstLineChars="200"/>
        <w:jc w:val="left"/>
        <w:textAlignment w:val="auto"/>
        <w:rPr>
          <w:rFonts w:hint="default" w:ascii="Times New Roman" w:hAnsi="Times New Roman" w:eastAsia="方正仿宋" w:cs="Times New Roman"/>
          <w:bCs w:val="0"/>
          <w:color w:val="auto"/>
          <w:spacing w:val="6"/>
          <w:sz w:val="32"/>
          <w:szCs w:val="32"/>
          <w:highlight w:val="none"/>
          <w:shd w:val="clear"/>
          <w:lang w:val="en-US" w:eastAsia="zh-CN"/>
        </w:rPr>
      </w:pP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 w:bidi="ar-SA"/>
        </w:rPr>
        <w:t>第十</w:t>
      </w:r>
      <w:r>
        <w:rPr>
          <w:rFonts w:hint="eastAsia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 w:bidi="ar-SA"/>
        </w:rPr>
        <w:t>七</w:t>
      </w:r>
      <w:r>
        <w:rPr>
          <w:rFonts w:hint="default" w:ascii="Times New Roman" w:hAnsi="Times New Roman" w:eastAsia="方正楷体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 w:bidi="ar-SA"/>
        </w:rPr>
        <w:t>条 有效期限。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highlight w:val="none"/>
          <w:lang w:val="en-US" w:eastAsia="zh-CN" w:bidi="ar-SA"/>
        </w:rPr>
        <w:t>本政策自202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highlight w:val="none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highlight w:val="none"/>
          <w:lang w:val="en-US" w:eastAsia="zh-CN" w:bidi="ar-SA"/>
        </w:rPr>
        <w:t>年xx月xx日起执行，有效期3年。在国家、省、市相关政策有重大调整时，根据实际情况调整。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/>
    <w:sectPr>
      <w:pgSz w:w="11906" w:h="16838"/>
      <w:pgMar w:top="1928" w:right="1474" w:bottom="1247" w:left="1588" w:header="851" w:footer="1588" w:gutter="0"/>
      <w:cols w:space="425" w:num="1"/>
      <w:docGrid w:type="linesAndChars" w:linePitch="297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ZTcyYjFkOTBkYmRjZDk3OTkyMTJiZDRiYjZmNmQifQ=="/>
  </w:docVars>
  <w:rsids>
    <w:rsidRoot w:val="0E564EAC"/>
    <w:rsid w:val="0E56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"/>
    <w:basedOn w:val="1"/>
    <w:next w:val="1"/>
    <w:qFormat/>
    <w:uiPriority w:val="99"/>
  </w:style>
  <w:style w:type="paragraph" w:styleId="4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2023-12-22T06:14:00Z</dcterms:created>
  <dc:creator>金容-Li</dc:creator>
  <cp:lastModifiedBy>金容-Li</cp:lastModifiedBy>
  <dcterms:modified xsi:type="dcterms:W3CDTF">2023-12-22T06:14:27Z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B8B5B25360314BB399C87FCBB21925FF_11</vt:lpwstr>
  </property>
</Properties>
</file>