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default" w:ascii="方正小标宋简体" w:hAnsi="方正小标宋简体" w:eastAsia="方正小标宋简体" w:cs="方正小标宋简体"/>
          <w:b w:val="0"/>
          <w:bCs w:val="0"/>
          <w:spacing w:val="6"/>
          <w:kern w:val="2"/>
          <w:sz w:val="44"/>
          <w:szCs w:val="44"/>
          <w:lang w:val="en-US" w:eastAsia="zh-CN" w:bidi="ar-SA"/>
        </w:rPr>
      </w:pPr>
      <w:r>
        <w:rPr>
          <w:rFonts w:hint="eastAsia" w:ascii="Times New Roman" w:hAnsi="Times New Roman" w:eastAsia="方正黑体" w:cs="Times New Roman"/>
          <w:sz w:val="32"/>
          <w:szCs w:val="32"/>
          <w:lang w:val="en-US" w:eastAsia="zh-CN"/>
        </w:rPr>
        <w:t>附</w:t>
      </w:r>
      <w:r>
        <w:rPr>
          <w:rFonts w:hint="default" w:ascii="Times New Roman" w:hAnsi="Times New Roman" w:eastAsia="方正黑体" w:cs="Times New Roman"/>
          <w:sz w:val="32"/>
          <w:szCs w:val="32"/>
          <w:lang w:val="en-US" w:eastAsia="zh-CN"/>
        </w:rPr>
        <w:t>件</w:t>
      </w:r>
      <w:r>
        <w:rPr>
          <w:rFonts w:hint="eastAsia" w:ascii="Times New Roman" w:hAnsi="Times New Roman" w:eastAsia="方正黑体" w:cs="Times New Roman"/>
          <w:sz w:val="32"/>
          <w:szCs w:val="32"/>
          <w:lang w:val="en-US" w:eastAsia="zh-CN"/>
        </w:rPr>
        <w:t>1</w:t>
      </w:r>
    </w:p>
    <w:p>
      <w:pPr>
        <w:pStyle w:val="2"/>
        <w:rPr>
          <w:rFonts w:hint="eastAsia" w:ascii="Times New Roman" w:hAnsi="宋体" w:eastAsia="方正仿宋" w:cs="Times New Roman"/>
          <w:color w:val="000000"/>
          <w:spacing w:val="6"/>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成都高新区2025年度温室气体排放清单编制服务项目</w:t>
      </w:r>
      <w:r>
        <w:rPr>
          <w:rFonts w:hint="default" w:ascii="方正小标宋简体" w:hAnsi="方正小标宋简体" w:eastAsia="方正小标宋简体" w:cs="方正小标宋简体"/>
          <w:spacing w:val="6"/>
          <w:sz w:val="44"/>
          <w:szCs w:val="44"/>
          <w:lang w:val="en-US" w:eastAsia="zh-CN"/>
        </w:rPr>
        <w:t>报名表</w:t>
      </w:r>
    </w:p>
    <w:p>
      <w:pPr>
        <w:rPr>
          <w:rFonts w:hint="default" w:ascii="Times New Roman" w:hAnsi="Times New Roman" w:cs="Times New Roman"/>
        </w:rPr>
      </w:pPr>
    </w:p>
    <w:tbl>
      <w:tblPr>
        <w:tblStyle w:val="12"/>
        <w:tblW w:w="928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355"/>
        <w:gridCol w:w="1934"/>
        <w:gridCol w:w="32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1769"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供应商单位</w:t>
            </w:r>
          </w:p>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全称（盖章）</w:t>
            </w:r>
          </w:p>
        </w:tc>
        <w:tc>
          <w:tcPr>
            <w:tcW w:w="7513" w:type="dxa"/>
            <w:gridSpan w:val="3"/>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2" w:type="dxa"/>
            <w:gridSpan w:val="4"/>
            <w:tcBorders>
              <w:top w:val="single" w:color="auto" w:sz="12" w:space="0"/>
            </w:tcBorders>
            <w:noWrap w:val="0"/>
            <w:vAlign w:val="center"/>
          </w:tcPr>
          <w:p>
            <w:pPr>
              <w:spacing w:line="20" w:lineRule="exact"/>
              <w:jc w:val="center"/>
              <w:rPr>
                <w:rFonts w:hint="default" w:ascii="Times New Roman" w:hAnsi="Times New Roman" w:cs="Times New Roman"/>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769" w:type="dxa"/>
            <w:tcBorders>
              <w:top w:val="single" w:color="auto" w:sz="12" w:space="0"/>
            </w:tcBorders>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供应商单位</w:t>
            </w:r>
          </w:p>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经办人</w:t>
            </w:r>
          </w:p>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姓    名</w:t>
            </w:r>
          </w:p>
        </w:tc>
        <w:tc>
          <w:tcPr>
            <w:tcW w:w="2355" w:type="dxa"/>
            <w:tcBorders>
              <w:top w:val="single" w:color="auto" w:sz="12" w:space="0"/>
            </w:tcBorders>
            <w:noWrap w:val="0"/>
            <w:vAlign w:val="center"/>
          </w:tcPr>
          <w:p>
            <w:pPr>
              <w:spacing w:line="300" w:lineRule="exact"/>
              <w:jc w:val="center"/>
              <w:rPr>
                <w:rFonts w:hint="default" w:ascii="Times New Roman" w:hAnsi="Times New Roman" w:cs="Times New Roman"/>
                <w:b/>
                <w:sz w:val="24"/>
              </w:rPr>
            </w:pPr>
          </w:p>
        </w:tc>
        <w:tc>
          <w:tcPr>
            <w:tcW w:w="1934" w:type="dxa"/>
            <w:tcBorders>
              <w:top w:val="single" w:color="auto" w:sz="12" w:space="0"/>
            </w:tcBorders>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职    务</w:t>
            </w:r>
          </w:p>
        </w:tc>
        <w:tc>
          <w:tcPr>
            <w:tcW w:w="3224" w:type="dxa"/>
            <w:tcBorders>
              <w:top w:val="single" w:color="auto" w:sz="12" w:space="0"/>
            </w:tcBorders>
            <w:noWrap w:val="0"/>
            <w:vAlign w:val="center"/>
          </w:tcPr>
          <w:p>
            <w:pPr>
              <w:spacing w:line="300" w:lineRule="exact"/>
              <w:jc w:val="center"/>
              <w:rPr>
                <w:rFonts w:hint="default" w:ascii="Times New Roman" w:hAnsi="Times New Roman" w:cs="Times New Roman"/>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282" w:type="dxa"/>
            <w:gridSpan w:val="4"/>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联系方式（必须如实填写）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69" w:type="dxa"/>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办公室电话</w:t>
            </w:r>
          </w:p>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号码</w:t>
            </w:r>
          </w:p>
        </w:tc>
        <w:tc>
          <w:tcPr>
            <w:tcW w:w="2355" w:type="dxa"/>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手机号码</w:t>
            </w:r>
          </w:p>
        </w:tc>
        <w:tc>
          <w:tcPr>
            <w:tcW w:w="1934" w:type="dxa"/>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传真号码</w:t>
            </w:r>
          </w:p>
        </w:tc>
        <w:tc>
          <w:tcPr>
            <w:tcW w:w="3224" w:type="dxa"/>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邮箱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769"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c>
          <w:tcPr>
            <w:tcW w:w="2355"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c>
          <w:tcPr>
            <w:tcW w:w="1934"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c>
          <w:tcPr>
            <w:tcW w:w="3224"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2" w:type="dxa"/>
            <w:gridSpan w:val="4"/>
            <w:tcBorders>
              <w:top w:val="single" w:color="auto" w:sz="12" w:space="0"/>
            </w:tcBorders>
            <w:noWrap w:val="0"/>
            <w:vAlign w:val="center"/>
          </w:tcPr>
          <w:p>
            <w:pPr>
              <w:spacing w:line="20" w:lineRule="exact"/>
              <w:jc w:val="center"/>
              <w:rPr>
                <w:rFonts w:hint="default" w:ascii="Times New Roman" w:hAnsi="Times New Roman" w:cs="Times New Roman"/>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769" w:type="dxa"/>
            <w:tcBorders>
              <w:top w:val="single" w:color="auto" w:sz="12" w:space="0"/>
            </w:tcBorders>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供应商单位</w:t>
            </w:r>
          </w:p>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法定代表人</w:t>
            </w:r>
          </w:p>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姓     名</w:t>
            </w:r>
          </w:p>
        </w:tc>
        <w:tc>
          <w:tcPr>
            <w:tcW w:w="2355" w:type="dxa"/>
            <w:tcBorders>
              <w:top w:val="single" w:color="auto" w:sz="12" w:space="0"/>
            </w:tcBorders>
            <w:noWrap w:val="0"/>
            <w:vAlign w:val="center"/>
          </w:tcPr>
          <w:p>
            <w:pPr>
              <w:spacing w:line="300" w:lineRule="exact"/>
              <w:jc w:val="center"/>
              <w:rPr>
                <w:rFonts w:hint="default" w:ascii="Times New Roman" w:hAnsi="Times New Roman" w:cs="Times New Roman"/>
                <w:b/>
                <w:sz w:val="24"/>
              </w:rPr>
            </w:pPr>
          </w:p>
        </w:tc>
        <w:tc>
          <w:tcPr>
            <w:tcW w:w="1934" w:type="dxa"/>
            <w:tcBorders>
              <w:top w:val="single" w:color="auto" w:sz="12" w:space="0"/>
            </w:tcBorders>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职    务</w:t>
            </w:r>
          </w:p>
        </w:tc>
        <w:tc>
          <w:tcPr>
            <w:tcW w:w="3224" w:type="dxa"/>
            <w:tcBorders>
              <w:top w:val="single" w:color="auto" w:sz="12" w:space="0"/>
            </w:tcBorders>
            <w:noWrap w:val="0"/>
            <w:vAlign w:val="center"/>
          </w:tcPr>
          <w:p>
            <w:pPr>
              <w:spacing w:line="300" w:lineRule="exact"/>
              <w:jc w:val="center"/>
              <w:rPr>
                <w:rFonts w:hint="default" w:ascii="Times New Roman" w:hAnsi="Times New Roman" w:cs="Times New Roman"/>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282" w:type="dxa"/>
            <w:gridSpan w:val="4"/>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联系方式（必须如实填写）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69" w:type="dxa"/>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办公室电话</w:t>
            </w:r>
          </w:p>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号码</w:t>
            </w:r>
          </w:p>
        </w:tc>
        <w:tc>
          <w:tcPr>
            <w:tcW w:w="2355" w:type="dxa"/>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手机号码</w:t>
            </w:r>
          </w:p>
        </w:tc>
        <w:tc>
          <w:tcPr>
            <w:tcW w:w="1934" w:type="dxa"/>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传真号码</w:t>
            </w:r>
          </w:p>
        </w:tc>
        <w:tc>
          <w:tcPr>
            <w:tcW w:w="3224" w:type="dxa"/>
            <w:noWrap w:val="0"/>
            <w:vAlign w:val="center"/>
          </w:tcPr>
          <w:p>
            <w:pPr>
              <w:spacing w:line="300" w:lineRule="exact"/>
              <w:jc w:val="center"/>
              <w:rPr>
                <w:rFonts w:hint="default" w:ascii="Times New Roman" w:hAnsi="Times New Roman" w:cs="Times New Roman"/>
                <w:b/>
                <w:sz w:val="24"/>
              </w:rPr>
            </w:pPr>
            <w:r>
              <w:rPr>
                <w:rFonts w:hint="default" w:ascii="Times New Roman" w:hAnsi="Times New Roman" w:cs="Times New Roman"/>
                <w:b/>
                <w:sz w:val="24"/>
              </w:rPr>
              <w:t>邮箱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769"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c>
          <w:tcPr>
            <w:tcW w:w="2355"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c>
          <w:tcPr>
            <w:tcW w:w="1934"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c>
          <w:tcPr>
            <w:tcW w:w="3224" w:type="dxa"/>
            <w:tcBorders>
              <w:bottom w:val="single" w:color="auto" w:sz="12" w:space="0"/>
            </w:tcBorders>
            <w:noWrap w:val="0"/>
            <w:vAlign w:val="center"/>
          </w:tcPr>
          <w:p>
            <w:pPr>
              <w:spacing w:line="300" w:lineRule="exact"/>
              <w:jc w:val="center"/>
              <w:rPr>
                <w:rFonts w:hint="default" w:ascii="Times New Roman" w:hAnsi="Times New Roman" w:cs="Times New Roman"/>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9282" w:type="dxa"/>
            <w:gridSpan w:val="4"/>
            <w:tcBorders>
              <w:top w:val="single" w:color="auto" w:sz="12" w:space="0"/>
              <w:tl2br w:val="nil"/>
              <w:tr2bl w:val="nil"/>
            </w:tcBorders>
            <w:noWrap w:val="0"/>
            <w:vAlign w:val="top"/>
          </w:tcPr>
          <w:p>
            <w:pPr>
              <w:spacing w:line="360" w:lineRule="exact"/>
              <w:rPr>
                <w:rFonts w:hint="default" w:ascii="Times New Roman" w:hAnsi="Times New Roman" w:cs="Times New Roman"/>
                <w:b/>
                <w:sz w:val="24"/>
              </w:rPr>
            </w:pPr>
            <w:r>
              <w:rPr>
                <w:rFonts w:hint="default" w:ascii="Times New Roman" w:hAnsi="Times New Roman" w:eastAsia="仿宋_GB2312" w:cs="Times New Roman"/>
                <w:b/>
                <w:bCs/>
                <w:color w:val="000000"/>
                <w:sz w:val="28"/>
                <w:szCs w:val="36"/>
                <w:lang w:bidi="ar"/>
              </w:rPr>
              <w:t>此报名表需加盖公章。</w:t>
            </w:r>
          </w:p>
        </w:tc>
      </w:tr>
    </w:tbl>
    <w:p>
      <w:pPr>
        <w:pStyle w:val="2"/>
        <w:spacing w:line="600" w:lineRule="exact"/>
        <w:jc w:val="both"/>
        <w:rPr>
          <w:rFonts w:hint="default" w:ascii="Times New Roman" w:hAnsi="Times New Roman" w:eastAsia="方正小标宋简体" w:cs="Times New Roman"/>
          <w:sz w:val="32"/>
          <w:szCs w:val="32"/>
          <w:lang w:val="en-US" w:eastAsia="zh-CN"/>
        </w:rPr>
      </w:pPr>
    </w:p>
    <w:p>
      <w:pPr>
        <w:pStyle w:val="8"/>
        <w:rPr>
          <w:rFonts w:hint="eastAsia" w:ascii="Times New Roman" w:hAnsi="Times New Roman" w:eastAsia="方正仿宋"/>
          <w:spacing w:val="4"/>
          <w:sz w:val="28"/>
          <w:szCs w:val="28"/>
          <w:highlight w:val="none"/>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default" w:ascii="方正小标宋简体" w:hAnsi="方正小标宋简体" w:eastAsia="方正小标宋简体" w:cs="方正小标宋简体"/>
          <w:b w:val="0"/>
          <w:bCs w:val="0"/>
          <w:spacing w:val="6"/>
          <w:kern w:val="2"/>
          <w:sz w:val="44"/>
          <w:szCs w:val="44"/>
          <w:lang w:val="en-US" w:eastAsia="zh-CN" w:bidi="ar-SA"/>
        </w:rPr>
      </w:pPr>
      <w:r>
        <w:rPr>
          <w:rFonts w:hint="eastAsia" w:ascii="Times New Roman" w:hAnsi="Times New Roman" w:eastAsia="方正黑体" w:cs="Times New Roman"/>
          <w:sz w:val="32"/>
          <w:szCs w:val="32"/>
          <w:lang w:val="en-US" w:eastAsia="zh-CN"/>
        </w:rPr>
        <w:t>附</w:t>
      </w:r>
      <w:r>
        <w:rPr>
          <w:rFonts w:hint="default" w:ascii="Times New Roman" w:hAnsi="Times New Roman" w:eastAsia="方正黑体" w:cs="Times New Roman"/>
          <w:sz w:val="32"/>
          <w:szCs w:val="32"/>
          <w:lang w:val="en-US" w:eastAsia="zh-CN"/>
        </w:rPr>
        <w:t>件2</w:t>
      </w:r>
    </w:p>
    <w:p>
      <w:pPr>
        <w:pStyle w:val="2"/>
        <w:spacing w:line="600" w:lineRule="exact"/>
        <w:jc w:val="center"/>
        <w:rPr>
          <w:rFonts w:hint="default" w:ascii="方正小标宋简体" w:hAnsi="方正小标宋简体" w:eastAsia="方正小标宋简体" w:cs="方正小标宋简体"/>
          <w:b w:val="0"/>
          <w:bCs w:val="0"/>
          <w:spacing w:val="6"/>
          <w:kern w:val="2"/>
          <w:sz w:val="44"/>
          <w:szCs w:val="44"/>
          <w:lang w:val="en-US" w:eastAsia="zh-CN" w:bidi="ar-SA"/>
        </w:rPr>
      </w:pPr>
      <w:r>
        <w:rPr>
          <w:rFonts w:hint="default" w:ascii="方正小标宋简体" w:hAnsi="方正小标宋简体" w:eastAsia="方正小标宋简体" w:cs="方正小标宋简体"/>
          <w:b w:val="0"/>
          <w:bCs w:val="0"/>
          <w:spacing w:val="6"/>
          <w:kern w:val="2"/>
          <w:sz w:val="44"/>
          <w:szCs w:val="44"/>
          <w:lang w:val="en-US" w:eastAsia="zh-CN" w:bidi="ar-SA"/>
        </w:rPr>
        <w:t>承诺函</w:t>
      </w:r>
    </w:p>
    <w:p>
      <w:pPr>
        <w:spacing w:line="520" w:lineRule="exact"/>
        <w:ind w:firstLine="140" w:firstLineChars="50"/>
        <w:rPr>
          <w:rFonts w:hint="default" w:ascii="Times New Roman" w:hAnsi="Times New Roman" w:cs="Times New Roman"/>
          <w:sz w:val="28"/>
        </w:rPr>
      </w:pPr>
    </w:p>
    <w:p>
      <w:pPr>
        <w:spacing w:line="360" w:lineRule="auto"/>
        <w:ind w:firstLine="0" w:firstLineChars="0"/>
        <w:rPr>
          <w:rFonts w:hint="default" w:ascii="Times New Roman" w:hAnsi="Times New Roman" w:eastAsia="方正仿宋" w:cs="Times New Roman"/>
          <w:sz w:val="32"/>
          <w:szCs w:val="32"/>
        </w:rPr>
      </w:pPr>
      <w:r>
        <w:rPr>
          <w:rFonts w:hint="default" w:ascii="Times New Roman" w:hAnsi="Times New Roman" w:eastAsia="方正仿宋" w:cs="Times New Roman"/>
          <w:sz w:val="32"/>
          <w:szCs w:val="32"/>
          <w:lang w:val="en-US" w:eastAsia="zh-CN"/>
        </w:rPr>
        <w:t>成都高新区生态环境</w:t>
      </w:r>
      <w:r>
        <w:rPr>
          <w:rFonts w:hint="eastAsia" w:ascii="Times New Roman" w:hAnsi="Times New Roman" w:eastAsia="方正仿宋" w:cs="Times New Roman"/>
          <w:sz w:val="32"/>
          <w:szCs w:val="32"/>
          <w:lang w:val="en-US" w:eastAsia="zh-CN"/>
        </w:rPr>
        <w:t>和城市管理局</w:t>
      </w:r>
      <w:r>
        <w:rPr>
          <w:rFonts w:hint="default" w:ascii="Times New Roman" w:hAnsi="Times New Roman" w:eastAsia="方正仿宋"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val="0"/>
          <w:bCs w:val="0"/>
          <w:sz w:val="32"/>
          <w:szCs w:val="32"/>
          <w:lang w:val="en-US" w:eastAsia="zh-CN"/>
        </w:rPr>
        <w:t>本单位参加</w:t>
      </w:r>
      <w:r>
        <w:rPr>
          <w:rFonts w:hint="eastAsia" w:ascii="Times New Roman" w:hAnsi="Times New Roman" w:eastAsia="仿宋" w:cs="Times New Roman"/>
          <w:b w:val="0"/>
          <w:bCs w:val="0"/>
          <w:sz w:val="32"/>
          <w:szCs w:val="32"/>
          <w:lang w:val="en-US" w:eastAsia="zh-CN"/>
        </w:rPr>
        <w:t>成都高新区2025年度温室气体排放清单编制服务项目</w:t>
      </w:r>
      <w:r>
        <w:rPr>
          <w:rFonts w:hint="default" w:ascii="Times New Roman" w:hAnsi="Times New Roman" w:eastAsia="仿宋" w:cs="Times New Roman"/>
          <w:b w:val="0"/>
          <w:bCs w:val="0"/>
          <w:sz w:val="32"/>
          <w:szCs w:val="32"/>
          <w:lang w:val="en-US" w:eastAsia="zh-CN"/>
        </w:rPr>
        <w:t>的比选，现承诺：</w:t>
      </w:r>
    </w:p>
    <w:p>
      <w:pPr>
        <w:spacing w:line="360" w:lineRule="auto"/>
        <w:ind w:firstLine="640" w:firstLineChars="200"/>
        <w:rPr>
          <w:rFonts w:hint="default" w:ascii="Times New Roman" w:hAnsi="Times New Roman" w:eastAsia="方正仿宋" w:cs="Times New Roman"/>
          <w:sz w:val="32"/>
          <w:szCs w:val="32"/>
        </w:rPr>
      </w:pPr>
      <w:r>
        <w:rPr>
          <w:rFonts w:hint="default" w:ascii="Times New Roman" w:hAnsi="Times New Roman" w:eastAsia="方正仿宋" w:cs="Times New Roman"/>
          <w:sz w:val="32"/>
          <w:szCs w:val="32"/>
        </w:rPr>
        <w:t>我单位满足比选资格要求：</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（一）具有独立承担民事责任的能力；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（二）具有良好的商业信誉和健全的财务会计制度；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（三）具有履行合同所必需的设备和专业技术能力；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（四）具有依法缴纳税收和社会保障资金的良好记录；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（五）参加本次公开比选活动前三年内，在经营活动中没有重大违法记录；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（六）法律、行政法规规定的其他条件。 </w:t>
      </w:r>
    </w:p>
    <w:p>
      <w:pPr>
        <w:spacing w:line="360" w:lineRule="auto"/>
        <w:ind w:firstLine="640" w:firstLineChars="200"/>
        <w:rPr>
          <w:rFonts w:hint="default" w:ascii="Times New Roman" w:hAnsi="Times New Roman" w:eastAsia="方正仿宋" w:cs="Times New Roman"/>
          <w:sz w:val="32"/>
          <w:szCs w:val="32"/>
        </w:rPr>
      </w:pPr>
      <w:r>
        <w:rPr>
          <w:rFonts w:hint="default" w:ascii="Times New Roman" w:hAnsi="Times New Roman" w:eastAsia="方正仿宋" w:cs="Times New Roman"/>
          <w:sz w:val="32"/>
          <w:szCs w:val="32"/>
        </w:rPr>
        <w:t>如违反以上承诺，本单位愿意承担一切法律责任。</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Times New Roman" w:hAnsi="Times New Roman" w:eastAsia="方正黑体" w:cs="方正黑体"/>
          <w:color w:val="auto"/>
          <w:spacing w:val="6"/>
          <w:sz w:val="32"/>
          <w:szCs w:val="32"/>
          <w:highlight w:val="none"/>
          <w:lang w:val="en-US" w:eastAsia="zh-CN"/>
        </w:rPr>
      </w:pPr>
    </w:p>
    <w:p>
      <w:pPr>
        <w:pStyle w:val="5"/>
        <w:rPr>
          <w:rFonts w:hint="eastAsia" w:ascii="Times New Roman" w:hAnsi="Times New Roman" w:eastAsia="方正黑体" w:cs="方正黑体"/>
          <w:color w:val="auto"/>
          <w:spacing w:val="6"/>
          <w:sz w:val="32"/>
          <w:szCs w:val="32"/>
          <w:highlight w:val="none"/>
          <w:lang w:val="en-US" w:eastAsia="zh-CN"/>
        </w:rPr>
      </w:pPr>
    </w:p>
    <w:p>
      <w:pPr>
        <w:pStyle w:val="5"/>
        <w:rPr>
          <w:rFonts w:hint="eastAsia" w:ascii="Times New Roman" w:hAnsi="Times New Roman" w:eastAsia="方正黑体" w:cs="方正黑体"/>
          <w:color w:val="auto"/>
          <w:spacing w:val="6"/>
          <w:sz w:val="32"/>
          <w:szCs w:val="32"/>
          <w:highlight w:val="none"/>
          <w:lang w:val="en-US" w:eastAsia="zh-CN"/>
        </w:rPr>
      </w:pPr>
    </w:p>
    <w:p>
      <w:pPr>
        <w:pStyle w:val="5"/>
        <w:rPr>
          <w:rFonts w:hint="eastAsia" w:ascii="Times New Roman" w:hAnsi="Times New Roman" w:eastAsia="方正黑体" w:cs="方正黑体"/>
          <w:color w:val="auto"/>
          <w:spacing w:val="6"/>
          <w:sz w:val="32"/>
          <w:szCs w:val="32"/>
          <w:highlight w:val="none"/>
          <w:lang w:val="en-US" w:eastAsia="zh-CN"/>
        </w:rPr>
      </w:pPr>
    </w:p>
    <w:p>
      <w:pPr>
        <w:pStyle w:val="5"/>
        <w:rPr>
          <w:rFonts w:hint="eastAsia" w:ascii="Times New Roman" w:hAnsi="Times New Roman" w:eastAsia="方正黑体" w:cs="方正黑体"/>
          <w:color w:val="auto"/>
          <w:spacing w:val="6"/>
          <w:sz w:val="32"/>
          <w:szCs w:val="32"/>
          <w:highlight w:val="none"/>
          <w:lang w:val="en-US" w:eastAsia="zh-CN"/>
        </w:rPr>
      </w:pPr>
    </w:p>
    <w:p>
      <w:pPr>
        <w:pStyle w:val="5"/>
        <w:rPr>
          <w:rFonts w:hint="eastAsia" w:ascii="Times New Roman" w:hAnsi="Times New Roman" w:eastAsia="方正黑体" w:cs="方正黑体"/>
          <w:color w:val="auto"/>
          <w:spacing w:val="6"/>
          <w:sz w:val="32"/>
          <w:szCs w:val="32"/>
          <w:highlight w:val="none"/>
          <w:lang w:val="en-US" w:eastAsia="zh-CN"/>
        </w:rPr>
      </w:pPr>
    </w:p>
    <w:p>
      <w:pPr>
        <w:pStyle w:val="5"/>
        <w:rPr>
          <w:rFonts w:hint="eastAsia" w:ascii="Times New Roman" w:hAnsi="Times New Roman" w:eastAsia="方正黑体" w:cs="方正黑体"/>
          <w:color w:val="auto"/>
          <w:spacing w:val="6"/>
          <w:sz w:val="32"/>
          <w:szCs w:val="32"/>
          <w:highlight w:val="none"/>
          <w:lang w:val="en-US" w:eastAsia="zh-CN"/>
        </w:rPr>
      </w:pPr>
    </w:p>
    <w:p>
      <w:pPr>
        <w:pStyle w:val="5"/>
        <w:rPr>
          <w:rFonts w:hint="eastAsia" w:ascii="Times New Roman" w:hAnsi="Times New Roman" w:eastAsia="方正黑体" w:cs="方正黑体"/>
          <w:color w:val="auto"/>
          <w:spacing w:val="6"/>
          <w:sz w:val="32"/>
          <w:szCs w:val="32"/>
          <w:highlight w:val="none"/>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r>
        <w:rPr>
          <w:rFonts w:hint="eastAsia" w:ascii="Times New Roman" w:hAnsi="Times New Roman" w:eastAsia="方正黑体" w:cs="Times New Roman"/>
          <w:sz w:val="32"/>
          <w:szCs w:val="32"/>
          <w:lang w:val="en-US" w:eastAsia="zh-CN"/>
        </w:rPr>
        <w:t>附</w:t>
      </w:r>
      <w:r>
        <w:rPr>
          <w:rFonts w:hint="default" w:ascii="Times New Roman" w:hAnsi="Times New Roman" w:eastAsia="方正黑体" w:cs="Times New Roman"/>
          <w:sz w:val="32"/>
          <w:szCs w:val="32"/>
          <w:lang w:val="en-US" w:eastAsia="zh-CN"/>
        </w:rPr>
        <w:t>件</w:t>
      </w:r>
      <w:r>
        <w:rPr>
          <w:rFonts w:hint="eastAsia" w:ascii="Times New Roman" w:hAnsi="Times New Roman" w:eastAsia="方正黑体" w:cs="Times New Roman"/>
          <w:sz w:val="32"/>
          <w:szCs w:val="32"/>
          <w:lang w:val="en-US" w:eastAsia="zh-CN"/>
        </w:rPr>
        <w:t>3</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2"/>
        <w:rPr>
          <w:rFonts w:hint="eastAsia" w:ascii="Times New Roman" w:hAnsi="宋体" w:eastAsia="方正仿宋" w:cs="Times New Roman"/>
          <w:color w:val="000000"/>
          <w:spacing w:val="6"/>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firstLine="3652" w:firstLineChars="1100"/>
        <w:textAlignment w:val="auto"/>
        <w:rPr>
          <w:rFonts w:hint="eastAsia" w:ascii="Times New Roman" w:hAnsi="宋体" w:eastAsia="方正仿宋" w:cs="Times New Roman"/>
          <w:color w:val="000000"/>
          <w:spacing w:val="6"/>
          <w:kern w:val="0"/>
          <w:sz w:val="32"/>
          <w:szCs w:val="32"/>
          <w:lang w:val="en-US" w:eastAsia="zh-CN" w:bidi="ar-SA"/>
        </w:rPr>
      </w:pPr>
      <w:r>
        <w:rPr>
          <w:rFonts w:hint="eastAsia" w:ascii="Times New Roman" w:hAnsi="宋体" w:eastAsia="方正仿宋" w:cs="Times New Roman"/>
          <w:color w:val="000000"/>
          <w:spacing w:val="6"/>
          <w:kern w:val="0"/>
          <w:sz w:val="32"/>
          <w:szCs w:val="32"/>
          <w:lang w:val="en-US" w:eastAsia="zh-CN" w:bidi="ar-SA"/>
        </w:rPr>
        <w:t>报价表</w:t>
      </w:r>
    </w:p>
    <w:p>
      <w:pPr>
        <w:keepNext w:val="0"/>
        <w:keepLines w:val="0"/>
        <w:pageBreakBefore w:val="0"/>
        <w:widowControl w:val="0"/>
        <w:kinsoku/>
        <w:wordWrap/>
        <w:overflowPunct/>
        <w:topLinePunct w:val="0"/>
        <w:autoSpaceDE/>
        <w:autoSpaceDN/>
        <w:bidi w:val="0"/>
        <w:adjustRightInd/>
        <w:snapToGrid/>
        <w:spacing w:line="600" w:lineRule="exact"/>
        <w:ind w:firstLine="664" w:firstLineChars="200"/>
        <w:textAlignment w:val="auto"/>
        <w:rPr>
          <w:rFonts w:hint="eastAsia" w:ascii="Times New Roman" w:hAnsi="宋体" w:eastAsia="方正仿宋" w:cs="Times New Roman"/>
          <w:color w:val="000000"/>
          <w:spacing w:val="6"/>
          <w:kern w:val="0"/>
          <w:sz w:val="32"/>
          <w:szCs w:val="32"/>
          <w:lang w:val="en-US" w:eastAsia="zh-CN" w:bidi="ar-SA"/>
        </w:rPr>
      </w:pPr>
      <w:r>
        <w:rPr>
          <w:rFonts w:hint="eastAsia" w:ascii="Times New Roman" w:hAnsi="宋体" w:eastAsia="方正仿宋" w:cs="Times New Roman"/>
          <w:color w:val="000000"/>
          <w:spacing w:val="6"/>
          <w:kern w:val="0"/>
          <w:sz w:val="32"/>
          <w:szCs w:val="32"/>
          <w:lang w:val="en-US" w:eastAsia="zh-CN" w:bidi="ar-SA"/>
        </w:rPr>
        <w:t>你局关于</w:t>
      </w:r>
      <w:r>
        <w:rPr>
          <w:rFonts w:hint="eastAsia" w:ascii="Times New Roman" w:hAnsi="Times New Roman" w:eastAsia="仿宋" w:cs="Times New Roman"/>
          <w:b w:val="0"/>
          <w:bCs w:val="0"/>
          <w:sz w:val="32"/>
          <w:szCs w:val="32"/>
          <w:lang w:val="en-US" w:eastAsia="zh-CN"/>
        </w:rPr>
        <w:t>成都高新区2025年度温室气体排放清单编制服务项目</w:t>
      </w:r>
      <w:r>
        <w:rPr>
          <w:rFonts w:hint="eastAsia" w:ascii="Times New Roman" w:hAnsi="宋体" w:eastAsia="方正仿宋" w:cs="Times New Roman"/>
          <w:color w:val="000000"/>
          <w:spacing w:val="6"/>
          <w:kern w:val="0"/>
          <w:sz w:val="32"/>
          <w:szCs w:val="32"/>
          <w:lang w:val="en-US" w:eastAsia="zh-CN" w:bidi="ar-SA"/>
        </w:rPr>
        <w:t>服务工作比选文件我单位（公司）已知悉，针对该项目报价为</w:t>
      </w:r>
      <w:r>
        <w:rPr>
          <w:rFonts w:hint="eastAsia" w:ascii="Times New Roman" w:hAnsi="宋体" w:eastAsia="方正仿宋" w:cs="Times New Roman"/>
          <w:color w:val="000000"/>
          <w:spacing w:val="6"/>
          <w:kern w:val="0"/>
          <w:sz w:val="32"/>
          <w:szCs w:val="32"/>
          <w:u w:val="single"/>
          <w:lang w:val="en-US" w:eastAsia="zh-CN" w:bidi="ar-SA"/>
        </w:rPr>
        <w:t xml:space="preserve">     </w:t>
      </w:r>
      <w:r>
        <w:rPr>
          <w:rFonts w:hint="eastAsia" w:ascii="Times New Roman" w:hAnsi="宋体" w:eastAsia="方正仿宋" w:cs="Times New Roman"/>
          <w:color w:val="000000"/>
          <w:spacing w:val="6"/>
          <w:kern w:val="0"/>
          <w:sz w:val="32"/>
          <w:szCs w:val="32"/>
          <w:u w:val="none"/>
          <w:lang w:val="en-US" w:eastAsia="zh-CN" w:bidi="ar-SA"/>
        </w:rPr>
        <w:t>万元</w:t>
      </w:r>
      <w:r>
        <w:rPr>
          <w:rFonts w:hint="eastAsia" w:ascii="Times New Roman" w:hAnsi="宋体" w:eastAsia="方正仿宋" w:cs="Times New Roman"/>
          <w:color w:val="000000"/>
          <w:spacing w:val="6"/>
          <w:kern w:val="0"/>
          <w:sz w:val="32"/>
          <w:szCs w:val="32"/>
          <w:lang w:val="en-US" w:eastAsia="zh-CN" w:bidi="ar-SA"/>
        </w:rPr>
        <w:t>，报价为“包干价”，包括</w:t>
      </w:r>
      <w:r>
        <w:rPr>
          <w:rFonts w:hint="eastAsia" w:ascii="Times New Roman" w:hAnsi="Times New Roman" w:eastAsia="方正仿宋"/>
          <w:color w:val="auto"/>
          <w:spacing w:val="6"/>
          <w:kern w:val="0"/>
          <w:sz w:val="32"/>
          <w:szCs w:val="32"/>
          <w:highlight w:val="none"/>
          <w:lang w:val="en-US" w:eastAsia="zh-CN"/>
        </w:rPr>
        <w:t>劳务、管理、材料、差旅、税金、利润、专家费等一切</w:t>
      </w:r>
      <w:r>
        <w:rPr>
          <w:rFonts w:hint="eastAsia" w:ascii="Times New Roman" w:hAnsi="宋体" w:eastAsia="方正仿宋" w:cs="Times New Roman"/>
          <w:color w:val="000000"/>
          <w:spacing w:val="6"/>
          <w:kern w:val="0"/>
          <w:sz w:val="32"/>
          <w:szCs w:val="32"/>
          <w:lang w:val="en-US" w:eastAsia="zh-CN" w:bidi="ar-SA"/>
        </w:rPr>
        <w:t>费用。</w:t>
      </w:r>
    </w:p>
    <w:p>
      <w:pPr>
        <w:pStyle w:val="16"/>
        <w:rPr>
          <w:rFonts w:hint="eastAsia"/>
          <w:lang w:val="en-US" w:eastAsia="zh-CN"/>
        </w:rPr>
      </w:pPr>
    </w:p>
    <w:p>
      <w:pPr>
        <w:pStyle w:val="16"/>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0"/>
          <w:szCs w:val="30"/>
          <w:lang w:val="en-US" w:eastAsia="zh-CN"/>
        </w:rPr>
      </w:pPr>
      <w:r>
        <w:rPr>
          <w:rFonts w:hint="eastAsia" w:ascii="Times New Roman" w:hAnsi="Times New Roman" w:eastAsia="方正黑体" w:cs="Times New Roman"/>
          <w:sz w:val="30"/>
          <w:szCs w:val="30"/>
          <w:lang w:val="en-US" w:eastAsia="zh-CN"/>
        </w:rPr>
        <w:t>附</w:t>
      </w:r>
      <w:r>
        <w:rPr>
          <w:rFonts w:hint="default" w:ascii="Times New Roman" w:hAnsi="Times New Roman" w:eastAsia="方正黑体" w:cs="Times New Roman"/>
          <w:sz w:val="30"/>
          <w:szCs w:val="30"/>
          <w:lang w:val="en-US" w:eastAsia="zh-CN"/>
        </w:rPr>
        <w:t>件</w:t>
      </w:r>
      <w:r>
        <w:rPr>
          <w:rFonts w:hint="eastAsia" w:ascii="Times New Roman" w:hAnsi="Times New Roman" w:eastAsia="方正黑体" w:cs="Times New Roman"/>
          <w:sz w:val="30"/>
          <w:szCs w:val="30"/>
          <w:lang w:val="en-US" w:eastAsia="zh-CN"/>
        </w:rPr>
        <w:t>4</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default" w:ascii="Times New Roman" w:hAnsi="Times New Roman" w:eastAsia="方正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Times New Roman" w:hAnsi="Times New Roman"/>
          <w:highlight w:val="none"/>
          <w:lang w:val="en-US" w:eastAsia="zh-CN"/>
        </w:rPr>
      </w:pPr>
      <w:r>
        <w:rPr>
          <w:rFonts w:hint="eastAsia" w:ascii="Times New Roman" w:hAnsi="Times New Roman" w:eastAsia="方正黑体" w:cs="方正黑体"/>
          <w:color w:val="auto"/>
          <w:spacing w:val="6"/>
          <w:sz w:val="32"/>
          <w:szCs w:val="32"/>
          <w:highlight w:val="none"/>
          <w:lang w:val="en-US" w:eastAsia="zh-CN"/>
        </w:rPr>
        <w:t>综合评分表</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812"/>
        <w:gridCol w:w="638"/>
        <w:gridCol w:w="5099"/>
        <w:gridCol w:w="1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ascii="Times New Roman" w:hAnsi="Times New Roman" w:cs="宋体"/>
                <w:szCs w:val="21"/>
                <w:highlight w:val="none"/>
              </w:rPr>
            </w:pPr>
            <w:r>
              <w:rPr>
                <w:rFonts w:hint="eastAsia" w:ascii="Times New Roman" w:hAnsi="Times New Roman" w:cs="宋体"/>
                <w:szCs w:val="21"/>
                <w:highlight w:val="none"/>
              </w:rPr>
              <w:t>序号</w:t>
            </w:r>
          </w:p>
        </w:tc>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hint="eastAsia" w:ascii="Times New Roman" w:hAnsi="Times New Roman" w:eastAsia="仿宋" w:cs="仿宋"/>
                <w:sz w:val="24"/>
                <w:highlight w:val="none"/>
                <w:lang w:val="en-US" w:eastAsia="zh-CN" w:bidi="ar"/>
              </w:rPr>
            </w:pPr>
            <w:r>
              <w:rPr>
                <w:rFonts w:hint="eastAsia" w:ascii="Times New Roman" w:hAnsi="Times New Roman" w:cs="宋体"/>
                <w:szCs w:val="21"/>
                <w:highlight w:val="none"/>
                <w:lang w:val="en-US" w:eastAsia="zh-CN"/>
              </w:rPr>
              <w:t>评分因素</w:t>
            </w:r>
          </w:p>
        </w:tc>
        <w:tc>
          <w:tcPr>
            <w:tcW w:w="638"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ascii="Times New Roman" w:hAnsi="Times New Roman" w:cs="宋体"/>
                <w:szCs w:val="21"/>
                <w:highlight w:val="none"/>
              </w:rPr>
            </w:pPr>
            <w:r>
              <w:rPr>
                <w:rFonts w:hint="eastAsia" w:ascii="Times New Roman" w:hAnsi="Times New Roman" w:cs="宋体"/>
                <w:szCs w:val="21"/>
                <w:highlight w:val="none"/>
              </w:rPr>
              <w:t>分值</w:t>
            </w:r>
          </w:p>
        </w:tc>
        <w:tc>
          <w:tcPr>
            <w:tcW w:w="509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ascii="Times New Roman" w:hAnsi="Times New Roman" w:cs="宋体"/>
                <w:szCs w:val="21"/>
                <w:highlight w:val="none"/>
              </w:rPr>
            </w:pPr>
            <w:r>
              <w:rPr>
                <w:rFonts w:hint="eastAsia" w:ascii="Times New Roman" w:hAnsi="Times New Roman" w:cs="宋体"/>
                <w:szCs w:val="21"/>
                <w:highlight w:val="none"/>
              </w:rPr>
              <w:t>评分标准</w:t>
            </w:r>
          </w:p>
        </w:tc>
        <w:tc>
          <w:tcPr>
            <w:tcW w:w="195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ascii="Times New Roman" w:hAnsi="Times New Roman" w:cs="宋体"/>
                <w:szCs w:val="21"/>
                <w:highlight w:val="none"/>
              </w:rPr>
            </w:pPr>
            <w:r>
              <w:rPr>
                <w:rFonts w:hint="eastAsia" w:ascii="Times New Roman" w:hAnsi="Times New Roman" w:cs="宋体"/>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ascii="Times New Roman" w:hAnsi="Times New Roman" w:cs="宋体"/>
                <w:szCs w:val="21"/>
                <w:highlight w:val="none"/>
              </w:rPr>
            </w:pPr>
            <w:r>
              <w:rPr>
                <w:rFonts w:hint="eastAsia" w:ascii="Times New Roman" w:hAnsi="Times New Roman" w:cs="宋体"/>
                <w:szCs w:val="21"/>
                <w:highlight w:val="none"/>
              </w:rPr>
              <w:t>1</w:t>
            </w:r>
          </w:p>
        </w:tc>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val="en-US" w:eastAsia="zh-CN" w:bidi="ar"/>
              </w:rPr>
              <w:t>报价</w:t>
            </w:r>
          </w:p>
        </w:tc>
        <w:tc>
          <w:tcPr>
            <w:tcW w:w="63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仿宋"/>
                <w:sz w:val="24"/>
                <w:highlight w:val="yellow"/>
                <w:lang w:val="en-US" w:eastAsia="zh-CN" w:bidi="ar"/>
              </w:rPr>
            </w:pPr>
            <w:r>
              <w:rPr>
                <w:rFonts w:hint="eastAsia" w:ascii="Times New Roman" w:hAnsi="Times New Roman" w:eastAsia="仿宋" w:cs="仿宋"/>
                <w:sz w:val="24"/>
                <w:highlight w:val="none"/>
                <w:lang w:val="en-US" w:eastAsia="zh-CN" w:bidi="ar"/>
              </w:rPr>
              <w:t>20</w:t>
            </w:r>
          </w:p>
        </w:tc>
        <w:tc>
          <w:tcPr>
            <w:tcW w:w="50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Times New Roman" w:hAnsi="Times New Roman" w:eastAsia="仿宋" w:cs="仿宋"/>
                <w:sz w:val="24"/>
                <w:highlight w:val="none"/>
                <w:lang w:bidi="ar"/>
              </w:rPr>
            </w:pPr>
            <w:r>
              <w:rPr>
                <w:rFonts w:hint="eastAsia" w:ascii="Times New Roman" w:hAnsi="Times New Roman" w:eastAsia="仿宋" w:cs="仿宋"/>
                <w:sz w:val="24"/>
                <w:highlight w:val="none"/>
                <w:lang w:bidi="ar"/>
              </w:rPr>
              <w:t>1.以满足比选文件要求且比选价格最低的比选报价为基准价，其价格分为满分。其他供应商的价格分统一按照下列公式计算：比选报价得分=(比选基准价／比选报价)×分值；</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default"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bidi="ar"/>
              </w:rPr>
              <w:t>2.对小型和微型企业（监狱企业、残疾人福利性单位）的比选价格（如涉及）给予10%的扣除，用扣除后的价格参与评审。</w:t>
            </w:r>
          </w:p>
        </w:tc>
        <w:tc>
          <w:tcPr>
            <w:tcW w:w="195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ascii="Times New Roman" w:hAnsi="Times New Roman"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ascii="Times New Roman" w:hAnsi="Times New Roman" w:cs="宋体"/>
                <w:szCs w:val="21"/>
                <w:highlight w:val="none"/>
              </w:rPr>
            </w:pPr>
            <w:r>
              <w:rPr>
                <w:rFonts w:hint="eastAsia" w:ascii="Times New Roman" w:hAnsi="Times New Roman" w:cs="宋体"/>
                <w:szCs w:val="21"/>
                <w:highlight w:val="none"/>
              </w:rPr>
              <w:t>2</w:t>
            </w:r>
          </w:p>
        </w:tc>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val="en-US" w:eastAsia="zh-CN" w:bidi="ar"/>
              </w:rPr>
              <w:t>同类项目经验</w:t>
            </w:r>
          </w:p>
        </w:tc>
        <w:tc>
          <w:tcPr>
            <w:tcW w:w="63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仿宋"/>
                <w:sz w:val="24"/>
                <w:highlight w:val="yellow"/>
                <w:lang w:val="en-US" w:eastAsia="zh-CN" w:bidi="ar"/>
              </w:rPr>
            </w:pPr>
            <w:r>
              <w:rPr>
                <w:rFonts w:hint="eastAsia" w:ascii="Times New Roman" w:hAnsi="Times New Roman" w:eastAsia="仿宋" w:cs="仿宋"/>
                <w:sz w:val="24"/>
                <w:highlight w:val="none"/>
                <w:lang w:val="en-US" w:eastAsia="zh-CN" w:bidi="ar"/>
              </w:rPr>
              <w:t>20</w:t>
            </w:r>
          </w:p>
        </w:tc>
        <w:tc>
          <w:tcPr>
            <w:tcW w:w="50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val="en-US" w:eastAsia="zh-CN" w:bidi="ar"/>
              </w:rPr>
              <w:t>2023年1月1日以来，</w:t>
            </w:r>
            <w:r>
              <w:rPr>
                <w:rFonts w:hint="eastAsia" w:ascii="Times New Roman" w:hAnsi="Times New Roman" w:eastAsia="仿宋" w:cs="仿宋"/>
                <w:sz w:val="24"/>
                <w:highlight w:val="none"/>
                <w:lang w:bidi="ar"/>
              </w:rPr>
              <w:t>投标人主持过温室气体排放清单编制</w:t>
            </w:r>
            <w:r>
              <w:rPr>
                <w:rFonts w:hint="eastAsia" w:ascii="Times New Roman" w:hAnsi="Times New Roman" w:eastAsia="仿宋" w:cs="仿宋"/>
                <w:sz w:val="24"/>
                <w:highlight w:val="none"/>
                <w:lang w:val="en-US" w:eastAsia="zh-CN" w:bidi="ar"/>
              </w:rPr>
              <w:t>等碳核算</w:t>
            </w:r>
            <w:r>
              <w:rPr>
                <w:rFonts w:hint="eastAsia" w:ascii="Times New Roman" w:hAnsi="Times New Roman" w:eastAsia="仿宋" w:cs="仿宋"/>
                <w:sz w:val="24"/>
                <w:highlight w:val="none"/>
                <w:lang w:bidi="ar"/>
              </w:rPr>
              <w:t>项目的，每一项得</w:t>
            </w:r>
            <w:r>
              <w:rPr>
                <w:rFonts w:hint="eastAsia" w:ascii="Times New Roman" w:hAnsi="Times New Roman" w:eastAsia="仿宋" w:cs="仿宋"/>
                <w:sz w:val="24"/>
                <w:highlight w:val="none"/>
                <w:lang w:val="en-US" w:eastAsia="zh-CN" w:bidi="ar"/>
              </w:rPr>
              <w:t>4</w:t>
            </w:r>
            <w:r>
              <w:rPr>
                <w:rFonts w:hint="eastAsia" w:ascii="Times New Roman" w:hAnsi="Times New Roman" w:eastAsia="仿宋" w:cs="仿宋"/>
                <w:sz w:val="24"/>
                <w:highlight w:val="none"/>
                <w:lang w:bidi="ar"/>
              </w:rPr>
              <w:t>分；投标人承担过绿色低碳节能领域项目的，每个得2分，本项最多得</w:t>
            </w:r>
            <w:r>
              <w:rPr>
                <w:rFonts w:hint="eastAsia" w:ascii="Times New Roman" w:hAnsi="Times New Roman" w:eastAsia="仿宋" w:cs="仿宋"/>
                <w:sz w:val="24"/>
                <w:highlight w:val="none"/>
                <w:lang w:val="en-US" w:eastAsia="zh-CN" w:bidi="ar"/>
              </w:rPr>
              <w:t>20</w:t>
            </w:r>
            <w:r>
              <w:rPr>
                <w:rFonts w:hint="eastAsia" w:ascii="Times New Roman" w:hAnsi="Times New Roman" w:eastAsia="仿宋" w:cs="仿宋"/>
                <w:sz w:val="24"/>
                <w:highlight w:val="none"/>
                <w:lang w:bidi="ar"/>
              </w:rPr>
              <w:t xml:space="preserve">分。 </w:t>
            </w:r>
          </w:p>
        </w:tc>
        <w:tc>
          <w:tcPr>
            <w:tcW w:w="195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hint="eastAsia" w:ascii="Times New Roman" w:hAnsi="Times New Roman" w:eastAsia="仿宋" w:cs="宋体"/>
                <w:szCs w:val="21"/>
                <w:highlight w:val="none"/>
                <w:lang w:eastAsia="zh-CN"/>
              </w:rPr>
            </w:pPr>
            <w:r>
              <w:rPr>
                <w:rFonts w:hint="eastAsia" w:ascii="Times New Roman" w:hAnsi="Times New Roman" w:eastAsia="仿宋" w:cs="仿宋"/>
                <w:sz w:val="24"/>
                <w:highlight w:val="none"/>
                <w:lang w:bidi="ar"/>
              </w:rPr>
              <w:t>须提供相关课题的合同复印件</w:t>
            </w:r>
            <w:r>
              <w:rPr>
                <w:rFonts w:hint="eastAsia" w:ascii="Times New Roman" w:hAnsi="Times New Roman" w:eastAsia="仿宋" w:cs="仿宋"/>
                <w:sz w:val="24"/>
                <w:highlight w:val="none"/>
                <w:lang w:val="en-US" w:eastAsia="zh-CN" w:bidi="ar"/>
              </w:rPr>
              <w:t>或中标（成交）通知书</w:t>
            </w:r>
            <w:r>
              <w:rPr>
                <w:rFonts w:hint="eastAsia" w:ascii="Times New Roman" w:hAnsi="Times New Roman" w:eastAsia="仿宋" w:cs="仿宋"/>
                <w:sz w:val="24"/>
                <w:highlight w:val="none"/>
                <w:lang w:eastAsia="zh-CN" w:bidi="ar"/>
              </w:rPr>
              <w:t>并加盖鲜章（</w:t>
            </w:r>
            <w:r>
              <w:rPr>
                <w:rFonts w:hint="eastAsia" w:ascii="Times New Roman" w:hAnsi="Times New Roman" w:eastAsia="仿宋" w:cs="仿宋"/>
                <w:sz w:val="24"/>
                <w:highlight w:val="none"/>
                <w:lang w:val="en-US" w:eastAsia="zh-CN" w:bidi="ar"/>
              </w:rPr>
              <w:t>时间以合同或通知书落款时间为准</w:t>
            </w:r>
            <w:r>
              <w:rPr>
                <w:rFonts w:hint="eastAsia" w:ascii="Times New Roman" w:hAnsi="Times New Roman" w:eastAsia="仿宋" w:cs="仿宋"/>
                <w:sz w:val="24"/>
                <w:highlight w:val="none"/>
                <w:lang w:eastAsia="zh-CN" w:bidi="ar"/>
              </w:rPr>
              <w:t>）</w:t>
            </w:r>
            <w:r>
              <w:rPr>
                <w:rFonts w:hint="eastAsia" w:ascii="Times New Roman" w:hAnsi="Times New Roman" w:eastAsia="仿宋" w:cs="仿宋"/>
                <w:sz w:val="24"/>
                <w:highlight w:val="none"/>
                <w:lang w:bidi="ar"/>
              </w:rPr>
              <w:t>，否则不得分</w:t>
            </w:r>
            <w:r>
              <w:rPr>
                <w:rFonts w:hint="eastAsia" w:ascii="Times New Roman" w:hAnsi="Times New Roman" w:eastAsia="仿宋" w:cs="仿宋"/>
                <w:sz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7" w:hRule="atLeast"/>
        </w:trPr>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hint="default" w:ascii="Times New Roman" w:hAnsi="Times New Roman" w:cs="宋体"/>
                <w:szCs w:val="21"/>
                <w:highlight w:val="none"/>
                <w:lang w:val="en-US" w:eastAsia="zh-CN"/>
              </w:rPr>
            </w:pPr>
            <w:r>
              <w:rPr>
                <w:rFonts w:hint="eastAsia" w:ascii="Times New Roman" w:hAnsi="Times New Roman" w:cs="宋体"/>
                <w:szCs w:val="21"/>
                <w:highlight w:val="none"/>
                <w:lang w:val="en-US" w:eastAsia="zh-CN"/>
              </w:rPr>
              <w:t>3</w:t>
            </w:r>
          </w:p>
        </w:tc>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仿宋"/>
                <w:color w:val="auto"/>
                <w:kern w:val="2"/>
                <w:sz w:val="24"/>
                <w:szCs w:val="24"/>
                <w:highlight w:val="none"/>
                <w:lang w:val="en-US" w:eastAsia="zh-CN" w:bidi="ar-SA"/>
              </w:rPr>
            </w:pPr>
            <w:r>
              <w:rPr>
                <w:rFonts w:hint="eastAsia" w:ascii="Times New Roman" w:hAnsi="Times New Roman" w:eastAsia="仿宋" w:cs="仿宋"/>
                <w:color w:val="auto"/>
                <w:kern w:val="2"/>
                <w:sz w:val="24"/>
                <w:szCs w:val="24"/>
                <w:highlight w:val="none"/>
                <w:lang w:val="en-US" w:eastAsia="zh-CN" w:bidi="ar-SA"/>
              </w:rPr>
              <w:t>团队配置</w:t>
            </w:r>
          </w:p>
        </w:tc>
        <w:tc>
          <w:tcPr>
            <w:tcW w:w="63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仿宋"/>
                <w:color w:val="auto"/>
                <w:kern w:val="2"/>
                <w:sz w:val="24"/>
                <w:szCs w:val="24"/>
                <w:highlight w:val="yellow"/>
                <w:lang w:val="en-US" w:eastAsia="zh-CN" w:bidi="ar"/>
              </w:rPr>
            </w:pPr>
            <w:r>
              <w:rPr>
                <w:rFonts w:hint="eastAsia" w:ascii="Times New Roman" w:hAnsi="Times New Roman" w:eastAsia="仿宋" w:cs="仿宋"/>
                <w:color w:val="auto"/>
                <w:kern w:val="2"/>
                <w:sz w:val="24"/>
                <w:szCs w:val="24"/>
                <w:highlight w:val="none"/>
                <w:lang w:val="en-US" w:eastAsia="zh-CN" w:bidi="ar"/>
              </w:rPr>
              <w:t>15</w:t>
            </w:r>
          </w:p>
        </w:tc>
        <w:tc>
          <w:tcPr>
            <w:tcW w:w="50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val="en-US" w:eastAsia="zh-CN" w:bidi="ar"/>
              </w:rPr>
              <w:t xml:space="preserve">拟投入本项目的人员结构。项目负责人具有能源、碳汇、环保领域高级技术职称的，得5分，否则得0 分；项目主要技术人员（不含项目负责人）中有能源、碳汇、环保等领域专业技术中级及以上职称每人2 分。该项最高得15分。 </w:t>
            </w:r>
          </w:p>
        </w:tc>
        <w:tc>
          <w:tcPr>
            <w:tcW w:w="19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val="en-US" w:eastAsia="zh-CN" w:bidi="ar"/>
              </w:rPr>
              <w:t>1.以上人员不包括外聘、兼职人员，同一人员不重复计分。</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val="en-US" w:eastAsia="zh-CN" w:bidi="ar"/>
              </w:rPr>
              <w:t>2.须提供相关人员身份证、证书复印件和证明以上人员为本单位人员的证明材料（例：社保证明文件）复印件并加盖鲜章。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hint="eastAsia" w:ascii="Times New Roman" w:hAnsi="Times New Roman" w:eastAsia="宋体" w:cs="宋体"/>
                <w:szCs w:val="21"/>
                <w:highlight w:val="none"/>
                <w:lang w:eastAsia="zh-CN"/>
              </w:rPr>
            </w:pPr>
            <w:r>
              <w:rPr>
                <w:rFonts w:hint="eastAsia" w:ascii="Times New Roman" w:hAnsi="Times New Roman" w:cs="宋体"/>
                <w:szCs w:val="21"/>
                <w:highlight w:val="none"/>
                <w:lang w:val="en-US" w:eastAsia="zh-CN"/>
              </w:rPr>
              <w:t>4</w:t>
            </w:r>
          </w:p>
        </w:tc>
        <w:tc>
          <w:tcPr>
            <w:tcW w:w="81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仿宋"/>
                <w:color w:val="auto"/>
                <w:kern w:val="2"/>
                <w:sz w:val="24"/>
                <w:szCs w:val="24"/>
                <w:highlight w:val="none"/>
                <w:lang w:val="en-US" w:eastAsia="zh-CN" w:bidi="ar-SA"/>
              </w:rPr>
            </w:pPr>
            <w:r>
              <w:rPr>
                <w:rFonts w:hint="eastAsia" w:ascii="Times New Roman" w:hAnsi="Times New Roman" w:eastAsia="仿宋" w:cs="仿宋"/>
                <w:color w:val="auto"/>
                <w:kern w:val="2"/>
                <w:sz w:val="24"/>
                <w:szCs w:val="24"/>
                <w:highlight w:val="none"/>
                <w:lang w:val="en-US" w:eastAsia="zh-CN" w:bidi="ar-SA"/>
              </w:rPr>
              <w:t>项目服务方案</w:t>
            </w:r>
          </w:p>
        </w:tc>
        <w:tc>
          <w:tcPr>
            <w:tcW w:w="63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 w:cs="仿宋"/>
                <w:color w:val="auto"/>
                <w:kern w:val="2"/>
                <w:sz w:val="24"/>
                <w:szCs w:val="24"/>
                <w:highlight w:val="yellow"/>
                <w:lang w:val="en-US" w:eastAsia="zh-CN" w:bidi="ar"/>
              </w:rPr>
            </w:pPr>
            <w:r>
              <w:rPr>
                <w:rFonts w:hint="eastAsia" w:ascii="Times New Roman" w:hAnsi="Times New Roman" w:eastAsia="仿宋" w:cs="仿宋"/>
                <w:color w:val="auto"/>
                <w:kern w:val="2"/>
                <w:sz w:val="24"/>
                <w:szCs w:val="24"/>
                <w:highlight w:val="none"/>
                <w:lang w:val="en-US" w:eastAsia="zh-CN" w:bidi="ar"/>
              </w:rPr>
              <w:t>40</w:t>
            </w:r>
          </w:p>
        </w:tc>
        <w:tc>
          <w:tcPr>
            <w:tcW w:w="50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default"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val="en-US" w:eastAsia="zh-CN" w:bidi="ar"/>
              </w:rPr>
              <w:t>项目服务方案应包括切实可行的项目需求分析</w:t>
            </w:r>
            <w:r>
              <w:rPr>
                <w:rFonts w:hint="eastAsia" w:ascii="Times New Roman" w:hAnsi="Times New Roman" w:eastAsia="仿宋" w:cs="仿宋"/>
                <w:b w:val="0"/>
                <w:bCs w:val="0"/>
                <w:sz w:val="24"/>
                <w:highlight w:val="none"/>
                <w:lang w:val="en-US" w:eastAsia="zh-CN" w:bidi="ar"/>
              </w:rPr>
              <w:t>、项目编制思路方法与技术路线、项目管理制度及质量保障方案。</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both"/>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b/>
                <w:bCs/>
                <w:sz w:val="24"/>
                <w:highlight w:val="none"/>
                <w:lang w:val="en-US" w:eastAsia="zh-CN" w:bidi="ar"/>
              </w:rPr>
              <w:t>项目需求分析应</w:t>
            </w:r>
            <w:r>
              <w:rPr>
                <w:rFonts w:hint="eastAsia" w:ascii="Times New Roman" w:hAnsi="Times New Roman" w:eastAsia="仿宋" w:cs="仿宋"/>
                <w:sz w:val="24"/>
                <w:highlight w:val="none"/>
                <w:lang w:val="en-US" w:eastAsia="zh-CN" w:bidi="ar"/>
              </w:rPr>
              <w:t>包括①对项目背景及意义分析；②对项目的需求理解；③对项目工作目标的分析；④对项目的重难点分析；⑤对项目重难点解决措施。以上5项内容完整或可行或具有针对性，能够保障项目顺利实施的得10分。每缺少一项扣2分，方案内容每有一项内容不完整或不可行或不具有针对性扣1分，直至本项扣完为止。</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both"/>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b/>
                <w:bCs/>
                <w:sz w:val="24"/>
                <w:highlight w:val="none"/>
                <w:lang w:val="en-US" w:eastAsia="zh-CN" w:bidi="ar"/>
              </w:rPr>
              <w:t>项目编制思路方法与技术路线。</w:t>
            </w:r>
            <w:r>
              <w:rPr>
                <w:rFonts w:hint="eastAsia" w:ascii="Times New Roman" w:hAnsi="Times New Roman" w:eastAsia="仿宋" w:cs="仿宋"/>
                <w:sz w:val="24"/>
                <w:highlight w:val="none"/>
                <w:lang w:val="en-US" w:eastAsia="zh-CN" w:bidi="ar"/>
              </w:rPr>
              <w:t>对比各投标人的研究思路、研究方法与技术路线， 推进步骤和方法是否具有科学性、合理性。研究思路清晰、方法正确、技术路线可行，得12分；研究思路较为清晰、有研究方法、有技术路线得6分； 思路不清晰，无方法、技术路线不满足项目要求得0分。</w:t>
            </w:r>
          </w:p>
          <w:p>
            <w:pPr>
              <w:keepNext w:val="0"/>
              <w:keepLines w:val="0"/>
              <w:pageBreakBefore w:val="0"/>
              <w:widowControl w:val="0"/>
              <w:kinsoku/>
              <w:wordWrap/>
              <w:overflowPunct/>
              <w:topLinePunct w:val="0"/>
              <w:autoSpaceDE/>
              <w:autoSpaceDN/>
              <w:bidi w:val="0"/>
              <w:adjustRightInd/>
              <w:snapToGrid/>
              <w:spacing w:after="0" w:line="320" w:lineRule="exact"/>
              <w:ind w:firstLine="482" w:firstLineChars="200"/>
              <w:jc w:val="both"/>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b/>
                <w:bCs/>
                <w:sz w:val="24"/>
                <w:highlight w:val="none"/>
                <w:lang w:val="en-US" w:eastAsia="zh-CN" w:bidi="ar"/>
              </w:rPr>
              <w:t>项目管理制度</w:t>
            </w:r>
            <w:r>
              <w:rPr>
                <w:rFonts w:hint="eastAsia" w:ascii="Times New Roman" w:hAnsi="Times New Roman" w:eastAsia="仿宋" w:cs="仿宋"/>
                <w:sz w:val="24"/>
                <w:highlight w:val="none"/>
                <w:lang w:val="en-US" w:eastAsia="zh-CN" w:bidi="ar"/>
              </w:rPr>
              <w:t>应包括①项目管理机构图；②工作职能组织运行图；③项目经理及内部管理的职责分工；④日常管理制度及考核办法，方案提供完整完整且内容详尽，管理制度建立健全管理制度的得8分，每有一项内容存在缺陷或不足的扣1分，每有一项缺项的扣2分。本项扣完为止。</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both"/>
              <w:textAlignment w:val="auto"/>
              <w:rPr>
                <w:rFonts w:hint="default" w:ascii="Times New Roman" w:hAnsi="Times New Roman" w:eastAsia="宋体" w:cs="仿宋"/>
                <w:color w:val="auto"/>
                <w:kern w:val="2"/>
                <w:sz w:val="24"/>
                <w:szCs w:val="24"/>
                <w:highlight w:val="none"/>
                <w:lang w:val="en-US" w:eastAsia="zh-CN" w:bidi="ar"/>
              </w:rPr>
            </w:pPr>
            <w:r>
              <w:rPr>
                <w:rFonts w:hint="eastAsia" w:ascii="Times New Roman" w:hAnsi="Times New Roman" w:eastAsia="仿宋" w:cs="仿宋"/>
                <w:b/>
                <w:bCs/>
                <w:sz w:val="24"/>
                <w:highlight w:val="none"/>
                <w:lang w:val="en-US" w:eastAsia="zh-CN" w:bidi="ar"/>
              </w:rPr>
              <w:t>质量保障方案</w:t>
            </w:r>
            <w:r>
              <w:rPr>
                <w:rFonts w:hint="eastAsia" w:ascii="Times New Roman" w:hAnsi="Times New Roman" w:eastAsia="仿宋" w:cs="仿宋"/>
                <w:sz w:val="24"/>
                <w:highlight w:val="none"/>
                <w:lang w:val="en-US" w:eastAsia="zh-CN" w:bidi="ar"/>
              </w:rPr>
              <w:t>应包括①项目管理制度；②项目考核办法；③质量控制措施；④应急响应保障措施；⑤服务响应的及时性。以上5项内容完整或可行或具有针对性，能够保障项目顺利实施的得10分，每缺少一项扣2分，方案内容每有一项内容不完整或不可行或不具有针对性扣1分，直至本项扣完为止。</w:t>
            </w:r>
          </w:p>
        </w:tc>
        <w:tc>
          <w:tcPr>
            <w:tcW w:w="195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ascii="Times New Roman" w:hAnsi="Times New Roman"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hint="default" w:ascii="Times New Roman" w:hAnsi="Times New Roman" w:cs="宋体"/>
                <w:szCs w:val="21"/>
                <w:highlight w:val="none"/>
                <w:lang w:val="en-US" w:eastAsia="zh-CN"/>
              </w:rPr>
            </w:pPr>
            <w:r>
              <w:rPr>
                <w:rFonts w:hint="eastAsia" w:ascii="Times New Roman" w:hAnsi="Times New Roman" w:cs="宋体"/>
                <w:szCs w:val="21"/>
                <w:highlight w:val="none"/>
                <w:lang w:val="en-US" w:eastAsia="zh-CN"/>
              </w:rPr>
              <w:t>5</w:t>
            </w:r>
          </w:p>
        </w:tc>
        <w:tc>
          <w:tcPr>
            <w:tcW w:w="812" w:type="dxa"/>
            <w:noWrap w:val="0"/>
            <w:vAlign w:val="center"/>
          </w:tcPr>
          <w:p>
            <w:pPr>
              <w:spacing w:line="440" w:lineRule="exact"/>
              <w:jc w:val="left"/>
              <w:rPr>
                <w:rFonts w:hint="eastAsia" w:ascii="Times New Roman" w:hAnsi="Times New Roman" w:eastAsia="仿宋" w:cs="仿宋"/>
                <w:color w:val="auto"/>
                <w:kern w:val="2"/>
                <w:sz w:val="24"/>
                <w:szCs w:val="24"/>
                <w:highlight w:val="none"/>
                <w:lang w:val="en-US" w:eastAsia="zh-CN" w:bidi="ar-SA"/>
              </w:rPr>
            </w:pPr>
            <w:r>
              <w:rPr>
                <w:rFonts w:hint="eastAsia" w:ascii="Times New Roman" w:hAnsi="Times New Roman" w:eastAsia="仿宋" w:cs="仿宋"/>
                <w:color w:val="auto"/>
                <w:sz w:val="24"/>
                <w:highlight w:val="none"/>
              </w:rPr>
              <w:t>扶持不发达地区和少数民族地区</w:t>
            </w:r>
          </w:p>
        </w:tc>
        <w:tc>
          <w:tcPr>
            <w:tcW w:w="638" w:type="dxa"/>
            <w:noWrap w:val="0"/>
            <w:vAlign w:val="center"/>
          </w:tcPr>
          <w:p>
            <w:pPr>
              <w:spacing w:line="440" w:lineRule="exact"/>
              <w:jc w:val="center"/>
              <w:rPr>
                <w:rFonts w:hint="eastAsia" w:ascii="Times New Roman" w:hAnsi="Times New Roman" w:eastAsia="仿宋" w:cs="仿宋"/>
                <w:color w:val="auto"/>
                <w:kern w:val="2"/>
                <w:sz w:val="24"/>
                <w:szCs w:val="24"/>
                <w:highlight w:val="yellow"/>
                <w:lang w:val="en-US" w:eastAsia="zh-CN" w:bidi="ar-SA"/>
              </w:rPr>
            </w:pPr>
            <w:r>
              <w:rPr>
                <w:rFonts w:hint="eastAsia" w:ascii="Times New Roman" w:hAnsi="Times New Roman" w:eastAsia="仿宋" w:cs="仿宋"/>
                <w:color w:val="auto"/>
                <w:sz w:val="24"/>
                <w:highlight w:val="none"/>
                <w:lang w:val="en-US" w:eastAsia="zh-CN"/>
              </w:rPr>
              <w:t>2</w:t>
            </w:r>
          </w:p>
        </w:tc>
        <w:tc>
          <w:tcPr>
            <w:tcW w:w="509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Times New Roman" w:hAnsi="Times New Roman" w:eastAsia="仿宋" w:cs="仿宋"/>
                <w:sz w:val="24"/>
                <w:highlight w:val="none"/>
                <w:lang w:val="en-US" w:eastAsia="zh-CN" w:bidi="ar"/>
              </w:rPr>
            </w:pPr>
            <w:r>
              <w:rPr>
                <w:rFonts w:hint="eastAsia" w:ascii="Times New Roman" w:hAnsi="Times New Roman" w:eastAsia="仿宋" w:cs="仿宋"/>
                <w:sz w:val="24"/>
                <w:highlight w:val="none"/>
                <w:lang w:val="en-US" w:eastAsia="zh-CN" w:bidi="ar"/>
              </w:rPr>
              <w:t>投标人为少数民族或不发达地区的，得2分。</w:t>
            </w:r>
          </w:p>
          <w:p>
            <w:pPr>
              <w:spacing w:line="440" w:lineRule="exact"/>
              <w:jc w:val="left"/>
              <w:rPr>
                <w:rFonts w:hint="eastAsia" w:ascii="Times New Roman" w:hAnsi="Times New Roman" w:eastAsia="仿宋" w:cs="仿宋"/>
                <w:color w:val="auto"/>
                <w:kern w:val="2"/>
                <w:sz w:val="24"/>
                <w:szCs w:val="24"/>
                <w:highlight w:val="none"/>
                <w:lang w:val="en-US" w:eastAsia="zh-CN" w:bidi="ar-SA"/>
              </w:rPr>
            </w:pPr>
          </w:p>
        </w:tc>
        <w:tc>
          <w:tcPr>
            <w:tcW w:w="1955" w:type="dxa"/>
            <w:noWrap w:val="0"/>
            <w:vAlign w:val="center"/>
          </w:tcPr>
          <w:p>
            <w:pPr>
              <w:spacing w:line="440" w:lineRule="exact"/>
              <w:jc w:val="both"/>
              <w:rPr>
                <w:rFonts w:ascii="Times New Roman" w:hAnsi="Times New Roman" w:eastAsia="仿宋" w:cs="仿宋"/>
                <w:color w:val="auto"/>
                <w:kern w:val="2"/>
                <w:sz w:val="24"/>
                <w:szCs w:val="24"/>
                <w:highlight w:val="none"/>
                <w:lang w:val="en-US" w:eastAsia="zh-CN" w:bidi="ar-SA"/>
              </w:rPr>
            </w:pPr>
            <w:r>
              <w:rPr>
                <w:rFonts w:hint="eastAsia" w:ascii="Times New Roman" w:hAnsi="Times New Roman" w:eastAsia="仿宋" w:cs="仿宋"/>
                <w:color w:val="auto"/>
                <w:sz w:val="24"/>
                <w:highlight w:val="none"/>
              </w:rPr>
              <w:t>提供相关行政部门出具的证明材料。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5"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ind w:firstLine="28" w:firstLineChars="0"/>
              <w:jc w:val="center"/>
              <w:textAlignment w:val="auto"/>
              <w:rPr>
                <w:rFonts w:hint="default" w:ascii="Times New Roman" w:hAnsi="Times New Roman" w:cs="宋体"/>
                <w:szCs w:val="21"/>
                <w:highlight w:val="none"/>
                <w:lang w:val="en-US" w:eastAsia="zh-CN"/>
              </w:rPr>
            </w:pPr>
            <w:r>
              <w:rPr>
                <w:rFonts w:hint="eastAsia" w:ascii="Times New Roman" w:hAnsi="Times New Roman" w:cs="宋体"/>
                <w:szCs w:val="21"/>
                <w:highlight w:val="none"/>
                <w:lang w:val="en-US" w:eastAsia="zh-CN"/>
              </w:rPr>
              <w:t>6</w:t>
            </w:r>
          </w:p>
        </w:tc>
        <w:tc>
          <w:tcPr>
            <w:tcW w:w="812" w:type="dxa"/>
            <w:noWrap w:val="0"/>
            <w:vAlign w:val="center"/>
          </w:tcPr>
          <w:p>
            <w:pPr>
              <w:spacing w:line="440" w:lineRule="exact"/>
              <w:jc w:val="left"/>
              <w:rPr>
                <w:rFonts w:hint="eastAsia" w:ascii="Times New Roman" w:hAnsi="Times New Roman" w:eastAsia="仿宋" w:cs="仿宋"/>
                <w:color w:val="auto"/>
                <w:kern w:val="2"/>
                <w:sz w:val="24"/>
                <w:szCs w:val="24"/>
                <w:highlight w:val="none"/>
                <w:lang w:val="en-US" w:eastAsia="zh-CN" w:bidi="ar-SA"/>
              </w:rPr>
            </w:pPr>
            <w:r>
              <w:rPr>
                <w:rFonts w:hint="eastAsia" w:ascii="Times New Roman" w:hAnsi="Times New Roman" w:eastAsia="仿宋" w:cs="仿宋"/>
                <w:color w:val="auto"/>
                <w:sz w:val="24"/>
                <w:highlight w:val="none"/>
              </w:rPr>
              <w:t>投标文件的规范性</w:t>
            </w:r>
          </w:p>
        </w:tc>
        <w:tc>
          <w:tcPr>
            <w:tcW w:w="638" w:type="dxa"/>
            <w:noWrap w:val="0"/>
            <w:vAlign w:val="center"/>
          </w:tcPr>
          <w:p>
            <w:pPr>
              <w:spacing w:line="440" w:lineRule="exact"/>
              <w:jc w:val="center"/>
              <w:rPr>
                <w:rFonts w:hint="eastAsia" w:ascii="Times New Roman" w:hAnsi="Times New Roman" w:eastAsia="仿宋" w:cs="仿宋"/>
                <w:color w:val="auto"/>
                <w:kern w:val="2"/>
                <w:sz w:val="24"/>
                <w:szCs w:val="24"/>
                <w:highlight w:val="yellow"/>
                <w:lang w:val="en-US" w:eastAsia="zh-CN" w:bidi="ar-SA"/>
              </w:rPr>
            </w:pPr>
            <w:r>
              <w:rPr>
                <w:rFonts w:hint="eastAsia" w:ascii="Times New Roman" w:hAnsi="Times New Roman" w:eastAsia="仿宋" w:cs="仿宋"/>
                <w:color w:val="auto"/>
                <w:sz w:val="24"/>
                <w:highlight w:val="none"/>
                <w:lang w:val="en-US" w:eastAsia="zh-CN"/>
              </w:rPr>
              <w:t>3</w:t>
            </w:r>
          </w:p>
        </w:tc>
        <w:tc>
          <w:tcPr>
            <w:tcW w:w="509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仿宋" w:cs="仿宋"/>
                <w:color w:val="auto"/>
                <w:kern w:val="2"/>
                <w:sz w:val="24"/>
                <w:szCs w:val="24"/>
                <w:highlight w:val="none"/>
                <w:lang w:val="en-US" w:eastAsia="zh-CN" w:bidi="ar-SA"/>
              </w:rPr>
            </w:pPr>
            <w:r>
              <w:rPr>
                <w:rFonts w:hint="eastAsia" w:ascii="Times New Roman" w:hAnsi="Times New Roman" w:eastAsia="仿宋" w:cs="仿宋"/>
                <w:sz w:val="24"/>
                <w:highlight w:val="none"/>
                <w:lang w:val="en-US" w:eastAsia="zh-CN" w:bidi="ar"/>
              </w:rPr>
              <w:t>投标文件制作规范、逐页编码、条理清晰、逻辑编排合理、前后内容无矛盾，没有细微偏差得3分；有一项细微偏差扣1分，直至该项分值扣完为止。</w:t>
            </w:r>
          </w:p>
        </w:tc>
        <w:tc>
          <w:tcPr>
            <w:tcW w:w="1955" w:type="dxa"/>
            <w:noWrap w:val="0"/>
            <w:vAlign w:val="center"/>
          </w:tcPr>
          <w:p>
            <w:pPr>
              <w:spacing w:line="440" w:lineRule="exact"/>
              <w:jc w:val="both"/>
              <w:rPr>
                <w:rFonts w:hint="eastAsia" w:ascii="Times New Roman" w:hAnsi="Times New Roman" w:eastAsia="仿宋" w:cs="仿宋"/>
                <w:color w:val="auto"/>
                <w:kern w:val="2"/>
                <w:sz w:val="24"/>
                <w:szCs w:val="24"/>
                <w:highlight w:val="none"/>
                <w:lang w:val="en-US" w:eastAsia="zh-CN" w:bidi="ar-SA"/>
              </w:rPr>
            </w:pPr>
            <w:r>
              <w:rPr>
                <w:rFonts w:hint="eastAsia" w:ascii="Times New Roman" w:hAnsi="Times New Roman" w:eastAsia="仿宋" w:cs="仿宋"/>
                <w:color w:val="auto"/>
                <w:sz w:val="24"/>
                <w:highlight w:val="none"/>
              </w:rPr>
              <w:t>以投标文件本身为准。</w:t>
            </w:r>
          </w:p>
        </w:tc>
      </w:tr>
    </w:tbl>
    <w:p>
      <w:pPr>
        <w:pStyle w:val="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
          <w:spacing w:val="4"/>
          <w:sz w:val="28"/>
          <w:szCs w:val="28"/>
          <w:highlight w:val="none"/>
        </w:rPr>
      </w:pPr>
    </w:p>
    <w:p>
      <w:pPr>
        <w:rPr>
          <w:rFonts w:ascii="Times New Roman" w:hAnsi="Times New Roman"/>
          <w:highlight w:val="none"/>
        </w:rPr>
      </w:pPr>
    </w:p>
    <w:p>
      <w:pPr>
        <w:pStyle w:val="5"/>
        <w:rPr>
          <w:rFonts w:ascii="Times New Roman" w:hAnsi="Times New Roman"/>
          <w:highlight w:val="none"/>
        </w:rPr>
      </w:pPr>
    </w:p>
    <w:p>
      <w:pPr>
        <w:pStyle w:val="5"/>
        <w:rPr>
          <w:rFonts w:ascii="Times New Roman" w:hAnsi="Times New Roman"/>
          <w:highlight w:val="none"/>
        </w:rPr>
      </w:pPr>
    </w:p>
    <w:p>
      <w:pPr>
        <w:pStyle w:val="5"/>
        <w:rPr>
          <w:rFonts w:ascii="Times New Roman" w:hAnsi="Times New Roman"/>
          <w:highlight w:val="none"/>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textAlignment w:val="auto"/>
        <w:rPr>
          <w:rFonts w:hint="eastAsia" w:ascii="Times New Roman" w:hAnsi="Times New Roman" w:eastAsia="方正黑体" w:cs="Times New Roman"/>
          <w:sz w:val="32"/>
          <w:szCs w:val="32"/>
          <w:lang w:val="en-US" w:eastAsia="zh-CN"/>
        </w:rPr>
      </w:pPr>
      <w:r>
        <w:rPr>
          <w:rFonts w:hint="eastAsia" w:ascii="Times New Roman" w:hAnsi="Times New Roman" w:eastAsia="方正黑体" w:cs="Times New Roman"/>
          <w:sz w:val="32"/>
          <w:szCs w:val="32"/>
          <w:lang w:val="en-US" w:eastAsia="zh-CN"/>
        </w:rPr>
        <w:t>附</w:t>
      </w:r>
      <w:r>
        <w:rPr>
          <w:rFonts w:hint="default" w:ascii="Times New Roman" w:hAnsi="Times New Roman" w:eastAsia="方正黑体" w:cs="Times New Roman"/>
          <w:sz w:val="32"/>
          <w:szCs w:val="32"/>
          <w:lang w:val="en-US" w:eastAsia="zh-CN"/>
        </w:rPr>
        <w:t>件</w:t>
      </w:r>
      <w:r>
        <w:rPr>
          <w:rFonts w:hint="eastAsia" w:ascii="Times New Roman" w:hAnsi="Times New Roman" w:eastAsia="方正黑体" w:cs="Times New Roman"/>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b/>
          <w:bCs/>
          <w:color w:val="0000FF"/>
        </w:rPr>
      </w:pPr>
      <w:r>
        <w:rPr>
          <w:rFonts w:hint="eastAsia" w:ascii="Times New Roman" w:hAnsi="Times New Roman" w:eastAsia="方正黑体" w:cs="方正黑体"/>
          <w:b/>
          <w:bCs/>
          <w:color w:val="0000FF"/>
          <w:spacing w:val="6"/>
          <w:sz w:val="32"/>
          <w:szCs w:val="32"/>
          <w:highlight w:val="none"/>
          <w:lang w:val="en-US" w:eastAsia="zh-CN"/>
        </w:rPr>
        <w:t>验收、服务考核表（不用于评审，用于中标人后期履约验收，投标人可不在投标文件中响应）</w:t>
      </w:r>
    </w:p>
    <w:p>
      <w:pPr>
        <w:pStyle w:val="2"/>
        <w:keepNext w:val="0"/>
        <w:keepLines w:val="0"/>
        <w:pageBreakBefore w:val="0"/>
        <w:widowControl w:val="0"/>
        <w:kinsoku/>
        <w:wordWrap w:val="0"/>
        <w:overflowPunct/>
        <w:topLinePunct w:val="0"/>
        <w:autoSpaceDE w:val="0"/>
        <w:autoSpaceDN w:val="0"/>
        <w:bidi/>
        <w:adjustRightInd/>
        <w:snapToGrid/>
        <w:jc w:val="left"/>
        <w:textAlignment w:val="auto"/>
        <w:rPr>
          <w:rFonts w:hint="default"/>
          <w:lang w:val="en-US" w:eastAsia="zh-CN"/>
        </w:rPr>
      </w:pPr>
      <w:r>
        <w:rPr>
          <w:rFonts w:hint="eastAsia" w:ascii="Times New Roman" w:hAnsi="Times New Roman" w:eastAsia="方正仿宋" w:cs="宋体"/>
          <w:b/>
          <w:bCs/>
          <w:i w:val="0"/>
          <w:iCs w:val="0"/>
          <w:color w:val="000000"/>
          <w:kern w:val="0"/>
          <w:sz w:val="22"/>
          <w:szCs w:val="22"/>
          <w:u w:val="none"/>
          <w:lang w:val="en-US" w:eastAsia="zh-CN" w:bidi="ar"/>
        </w:rPr>
        <w:t xml:space="preserve">评分人：                 评分日期：            </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1043"/>
        <w:gridCol w:w="2941"/>
        <w:gridCol w:w="2140"/>
        <w:gridCol w:w="811"/>
        <w:gridCol w:w="811"/>
        <w:gridCol w:w="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序号</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考核项目</w:t>
            </w: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考核内容</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评分标准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分值</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得分</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服务内容</w:t>
            </w: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完成年度清单编制服务内容</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完成合同中约定的服务内容得满分，有一项未完成扣2分。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5"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2</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保密管理</w:t>
            </w: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对成都高新区温室气体排放相关数据及其他相关资料进行严格保密，不能用作与本项目无关的其它用途。对本项目产生成果进行严格保密，不经招标人同意，不得向其它任何第三方透露。</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完成保密管理得满分，出现泄密情况得0分，若侵犯甲方或第三人合法权利造成相应损失的，甲方有权向乙方全部追偿。</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3</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工作时效</w:t>
            </w: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在规定时间内向服务采购单位提供合同中对应年度的温室气体排放清单报告等电子文本和纸质文本。</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在规定时间内完成服务内容得满分，逾期得0分。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9"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4</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项目服务团队和人员</w:t>
            </w: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应有健全的组织机构，有完善的内控制度、质量保证体系以及档案管理制度，有良好的服务态度和社会信誉，近三年未因业务质量问题、数据泄密、行贿等各类违规行为受到有关部门处罚。</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制度不完善扣5分，有一次处罚扣5分，直至扣为0分。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1"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5</w:t>
            </w: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 w:hAnsi="方正仿宋" w:eastAsia="方正仿宋" w:cs="方正仿宋"/>
                <w:i w:val="0"/>
                <w:iCs w:val="0"/>
                <w:color w:val="000000"/>
                <w:sz w:val="22"/>
                <w:szCs w:val="22"/>
                <w:u w:val="none"/>
              </w:rPr>
            </w:pP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成交供应商需为本项目设置专门工作团队，团队设置项目总负责人1名，工作人员不少于6人（包含项目总负责人），项目总负责人需具有3年以上能源、环保、工程类相关工作经验，且不得随意更换（提供个人履历、项目经验及证明人、联系方式）。</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有一处不满足，扣2分。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6</w:t>
            </w: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 w:hAnsi="方正仿宋" w:eastAsia="方正仿宋" w:cs="方正仿宋"/>
                <w:i w:val="0"/>
                <w:iCs w:val="0"/>
                <w:color w:val="000000"/>
                <w:sz w:val="22"/>
                <w:szCs w:val="22"/>
                <w:u w:val="none"/>
              </w:rPr>
            </w:pP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当国家、四川省、成都市、成都高新区等部门临时下达与该项工作相关的任务或者任务紧急出现，但现有人员无法按照规定时间节点完成在成都高新区年度温室气体排放清单编制服务相关工作时，成交供应商应积极配合增配相关人员，确保按照规定时间节点完成工作任务。</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达到要求为满分，不满足得0分。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7</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工作质量</w:t>
            </w: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在规定时间内，按照国家生态环境部、四川省、成都市、成都高新区等四级部门要求及技术规范按时保质完成成都高新区年度温室气体排放清单编制相关工作，通过专家评审，并通过成都高新区及上级生态环境主管部门的核查。</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b/>
                <w:bCs/>
                <w:i w:val="0"/>
                <w:iCs w:val="0"/>
                <w:color w:val="0000FF"/>
                <w:kern w:val="0"/>
                <w:sz w:val="22"/>
                <w:szCs w:val="22"/>
                <w:u w:val="none"/>
                <w:lang w:val="en-US" w:eastAsia="zh-CN" w:bidi="ar"/>
              </w:rPr>
              <w:t>在市局评分第一梯队为满分，第二梯队得10分，低于第二梯队得5分，未通过核查得0分。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20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8</w:t>
            </w: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 w:hAnsi="方正仿宋" w:eastAsia="方正仿宋" w:cs="方正仿宋"/>
                <w:i w:val="0"/>
                <w:iCs w:val="0"/>
                <w:color w:val="000000"/>
                <w:sz w:val="22"/>
                <w:szCs w:val="22"/>
                <w:u w:val="none"/>
              </w:rPr>
            </w:pP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在项目服务期间，做好数据的备份，并确保在出现数据或数据库故障或丢失时能进行数据恢复。</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达到要求为满分，不满足得0分。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9</w:t>
            </w: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仿宋" w:hAnsi="方正仿宋" w:eastAsia="方正仿宋" w:cs="方正仿宋"/>
                <w:i w:val="0"/>
                <w:iCs w:val="0"/>
                <w:color w:val="000000"/>
                <w:sz w:val="22"/>
                <w:szCs w:val="22"/>
                <w:u w:val="none"/>
              </w:rPr>
            </w:pPr>
          </w:p>
        </w:tc>
        <w:tc>
          <w:tcPr>
            <w:tcW w:w="1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建立严格的质量保证和风险控制体系，确保数据的完整性、真实性、准确性，不得弄虚作假，虚报、瞒报、错报、漏报各项核实监测调研数据。在监测调研全过程中应坚持客观公正的原则，贯彻落实各项廉洁要求。</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达到要求为满分，不满足得0分。</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5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合计</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r>
              <w:rPr>
                <w:rFonts w:hint="eastAsia" w:ascii="方正仿宋" w:hAnsi="方正仿宋" w:eastAsia="方正仿宋" w:cs="方正仿宋"/>
                <w:i w:val="0"/>
                <w:iCs w:val="0"/>
                <w:color w:val="000000"/>
                <w:kern w:val="0"/>
                <w:sz w:val="22"/>
                <w:szCs w:val="22"/>
                <w:u w:val="none"/>
                <w:lang w:val="en-US" w:eastAsia="zh-CN" w:bidi="ar"/>
              </w:rPr>
              <w:t>100</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方正仿宋" w:hAnsi="方正仿宋" w:eastAsia="方正仿宋" w:cs="方正仿宋"/>
                <w:i w:val="0"/>
                <w:iCs w:val="0"/>
                <w:color w:val="000000"/>
                <w:sz w:val="22"/>
                <w:szCs w:val="22"/>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方正仿宋" w:hAnsi="方正仿宋" w:eastAsia="方正仿宋" w:cs="方正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 w:hAnsi="方正仿宋" w:eastAsia="方正仿宋" w:cs="方正仿宋"/>
                <w:i w:val="0"/>
                <w:iCs w:val="0"/>
                <w:color w:val="000000"/>
                <w:kern w:val="0"/>
                <w:sz w:val="24"/>
                <w:szCs w:val="24"/>
                <w:u w:val="none"/>
                <w:lang w:val="en-US" w:eastAsia="zh-CN" w:bidi="ar"/>
              </w:rPr>
            </w:pPr>
            <w:r>
              <w:rPr>
                <w:rFonts w:hint="eastAsia" w:ascii="方正仿宋" w:hAnsi="方正仿宋" w:eastAsia="方正仿宋" w:cs="方正仿宋"/>
                <w:i w:val="0"/>
                <w:iCs w:val="0"/>
                <w:color w:val="000000"/>
                <w:kern w:val="0"/>
                <w:sz w:val="24"/>
                <w:szCs w:val="24"/>
                <w:u w:val="none"/>
                <w:lang w:val="en-US" w:eastAsia="zh-CN" w:bidi="ar"/>
              </w:rPr>
              <w:t xml:space="preserve">备注： </w:t>
            </w:r>
            <w:r>
              <w:rPr>
                <w:rFonts w:hint="eastAsia" w:ascii="方正仿宋" w:hAnsi="方正仿宋" w:eastAsia="方正仿宋" w:cs="方正仿宋"/>
                <w:i w:val="0"/>
                <w:iCs w:val="0"/>
                <w:color w:val="000000"/>
                <w:kern w:val="0"/>
                <w:sz w:val="24"/>
                <w:szCs w:val="24"/>
                <w:u w:val="none"/>
                <w:lang w:val="en-US" w:eastAsia="zh-CN" w:bidi="ar"/>
              </w:rPr>
              <w:br w:type="textWrapping"/>
            </w:r>
            <w:r>
              <w:rPr>
                <w:rFonts w:hint="eastAsia" w:ascii="方正仿宋" w:hAnsi="方正仿宋" w:eastAsia="方正仿宋" w:cs="方正仿宋"/>
                <w:i w:val="0"/>
                <w:iCs w:val="0"/>
                <w:color w:val="000000"/>
                <w:kern w:val="0"/>
                <w:sz w:val="24"/>
                <w:szCs w:val="24"/>
                <w:u w:val="none"/>
                <w:lang w:val="en-US" w:eastAsia="zh-CN" w:bidi="ar"/>
              </w:rPr>
              <w:t>1.考核表满分为100分。</w:t>
            </w:r>
            <w:r>
              <w:rPr>
                <w:rFonts w:hint="eastAsia" w:ascii="方正仿宋" w:hAnsi="方正仿宋" w:eastAsia="方正仿宋" w:cs="方正仿宋"/>
                <w:i w:val="0"/>
                <w:iCs w:val="0"/>
                <w:color w:val="000000"/>
                <w:kern w:val="0"/>
                <w:sz w:val="24"/>
                <w:szCs w:val="24"/>
                <w:u w:val="none"/>
                <w:lang w:val="en-US" w:eastAsia="zh-CN" w:bidi="ar"/>
              </w:rPr>
              <w:br w:type="textWrapping"/>
            </w:r>
            <w:r>
              <w:rPr>
                <w:rFonts w:hint="eastAsia" w:ascii="方正仿宋" w:hAnsi="方正仿宋" w:eastAsia="方正仿宋" w:cs="方正仿宋"/>
                <w:i w:val="0"/>
                <w:iCs w:val="0"/>
                <w:color w:val="000000"/>
                <w:kern w:val="0"/>
                <w:sz w:val="24"/>
                <w:szCs w:val="24"/>
                <w:u w:val="none"/>
                <w:lang w:val="en-US" w:eastAsia="zh-CN" w:bidi="ar"/>
              </w:rPr>
              <w:t xml:space="preserve">2.合计得分91分-100分，视为优秀。 </w:t>
            </w:r>
            <w:r>
              <w:rPr>
                <w:rFonts w:hint="eastAsia" w:ascii="方正仿宋" w:hAnsi="方正仿宋" w:eastAsia="方正仿宋" w:cs="方正仿宋"/>
                <w:i w:val="0"/>
                <w:iCs w:val="0"/>
                <w:color w:val="000000"/>
                <w:kern w:val="0"/>
                <w:sz w:val="24"/>
                <w:szCs w:val="24"/>
                <w:u w:val="none"/>
                <w:lang w:val="en-US" w:eastAsia="zh-CN" w:bidi="ar"/>
              </w:rPr>
              <w:br w:type="textWrapping"/>
            </w:r>
            <w:r>
              <w:rPr>
                <w:rFonts w:hint="eastAsia" w:ascii="方正仿宋" w:hAnsi="方正仿宋" w:eastAsia="方正仿宋" w:cs="方正仿宋"/>
                <w:i w:val="0"/>
                <w:iCs w:val="0"/>
                <w:color w:val="000000"/>
                <w:kern w:val="0"/>
                <w:sz w:val="24"/>
                <w:szCs w:val="24"/>
                <w:u w:val="none"/>
                <w:lang w:val="en-US" w:eastAsia="zh-CN" w:bidi="ar"/>
              </w:rPr>
              <w:t xml:space="preserve">3.合计得分76分-90分，视为良好，投标人应针对其薄弱项进行整改。 </w:t>
            </w:r>
            <w:r>
              <w:rPr>
                <w:rFonts w:hint="eastAsia" w:ascii="方正仿宋" w:hAnsi="方正仿宋" w:eastAsia="方正仿宋" w:cs="方正仿宋"/>
                <w:i w:val="0"/>
                <w:iCs w:val="0"/>
                <w:color w:val="000000"/>
                <w:kern w:val="0"/>
                <w:sz w:val="24"/>
                <w:szCs w:val="24"/>
                <w:u w:val="none"/>
                <w:lang w:val="en-US" w:eastAsia="zh-CN" w:bidi="ar"/>
              </w:rPr>
              <w:br w:type="textWrapping"/>
            </w:r>
            <w:r>
              <w:rPr>
                <w:rFonts w:hint="eastAsia" w:ascii="方正仿宋" w:hAnsi="方正仿宋" w:eastAsia="方正仿宋" w:cs="方正仿宋"/>
                <w:i w:val="0"/>
                <w:iCs w:val="0"/>
                <w:color w:val="000000"/>
                <w:kern w:val="0"/>
                <w:sz w:val="24"/>
                <w:szCs w:val="24"/>
                <w:u w:val="none"/>
                <w:lang w:val="en-US" w:eastAsia="zh-CN" w:bidi="ar"/>
              </w:rPr>
              <w:t xml:space="preserve">4.合计得分70分-75分，视为合格，同时投标人应针对其薄弱项进行整改。 </w:t>
            </w:r>
            <w:r>
              <w:rPr>
                <w:rFonts w:hint="eastAsia" w:ascii="方正仿宋" w:hAnsi="方正仿宋" w:eastAsia="方正仿宋" w:cs="方正仿宋"/>
                <w:i w:val="0"/>
                <w:iCs w:val="0"/>
                <w:color w:val="000000"/>
                <w:kern w:val="0"/>
                <w:sz w:val="24"/>
                <w:szCs w:val="24"/>
                <w:u w:val="none"/>
                <w:lang w:val="en-US" w:eastAsia="zh-CN" w:bidi="ar"/>
              </w:rPr>
              <w:br w:type="textWrapping"/>
            </w:r>
            <w:r>
              <w:rPr>
                <w:rFonts w:hint="eastAsia" w:ascii="方正仿宋" w:hAnsi="方正仿宋" w:eastAsia="方正仿宋" w:cs="方正仿宋"/>
                <w:i w:val="0"/>
                <w:iCs w:val="0"/>
                <w:color w:val="000000"/>
                <w:kern w:val="0"/>
                <w:sz w:val="24"/>
                <w:szCs w:val="24"/>
                <w:u w:val="none"/>
                <w:lang w:val="en-US" w:eastAsia="zh-CN" w:bidi="ar"/>
              </w:rPr>
              <w:t xml:space="preserve">5.合计得分低于70分(不含70分)视为不合格，同时采购人有权下达整改通知书要求投标人进行整改。未在规定时间内完成整改，视为投标人履约不合格，采购人有权单方面解除合同，并追究投标人违约责任，由此造成的一切损失由投标人自行承担。 </w:t>
            </w:r>
            <w:r>
              <w:rPr>
                <w:rFonts w:hint="eastAsia" w:ascii="方正仿宋" w:hAnsi="方正仿宋" w:eastAsia="方正仿宋" w:cs="方正仿宋"/>
                <w:i w:val="0"/>
                <w:iCs w:val="0"/>
                <w:color w:val="000000"/>
                <w:kern w:val="0"/>
                <w:sz w:val="24"/>
                <w:szCs w:val="24"/>
                <w:u w:val="none"/>
                <w:lang w:val="en-US" w:eastAsia="zh-CN" w:bidi="ar"/>
              </w:rPr>
              <w:br w:type="textWrapping"/>
            </w:r>
            <w:r>
              <w:rPr>
                <w:rFonts w:hint="eastAsia" w:ascii="方正仿宋" w:hAnsi="方正仿宋" w:eastAsia="方正仿宋" w:cs="方正仿宋"/>
                <w:i w:val="0"/>
                <w:iCs w:val="0"/>
                <w:color w:val="000000"/>
                <w:kern w:val="0"/>
                <w:sz w:val="24"/>
                <w:szCs w:val="24"/>
                <w:u w:val="none"/>
                <w:lang w:val="en-US" w:eastAsia="zh-CN" w:bidi="ar"/>
              </w:rPr>
              <w:t>6.合同履行期间，因乙方过错侵犯甲方或第三人合法权利造成相应损失的，视考核为不合适，且甲方有权向乙方全部追偿。出现上述情况，甲方有权视情况通知乙方终止合同，不再向乙方支付任何费用，甲方有权要求乙方按合同总价款的</w:t>
            </w:r>
            <w:r>
              <w:rPr>
                <w:rFonts w:hint="eastAsia" w:ascii="方正仿宋" w:hAnsi="方正仿宋" w:eastAsia="方正仿宋" w:cs="方正仿宋"/>
                <w:b/>
                <w:bCs/>
                <w:i w:val="0"/>
                <w:iCs w:val="0"/>
                <w:color w:val="0000FF"/>
                <w:kern w:val="0"/>
                <w:sz w:val="24"/>
                <w:szCs w:val="24"/>
                <w:u w:val="none"/>
                <w:lang w:val="en-US" w:eastAsia="zh-CN" w:bidi="ar"/>
              </w:rPr>
              <w:t>15%承担违约责任</w:t>
            </w:r>
            <w:r>
              <w:rPr>
                <w:rFonts w:hint="eastAsia" w:ascii="方正仿宋" w:hAnsi="方正仿宋" w:eastAsia="方正仿宋" w:cs="方正仿宋"/>
                <w:i w:val="0"/>
                <w:iCs w:val="0"/>
                <w:color w:val="000000"/>
                <w:kern w:val="0"/>
                <w:sz w:val="24"/>
                <w:szCs w:val="24"/>
                <w:u w:val="none"/>
                <w:lang w:val="en-US" w:eastAsia="zh-CN" w:bidi="ar"/>
              </w:rPr>
              <w:t xml:space="preserve">并退还甲方已支付的全部费用。 </w:t>
            </w:r>
            <w:r>
              <w:rPr>
                <w:rFonts w:hint="eastAsia" w:ascii="方正仿宋" w:hAnsi="方正仿宋" w:eastAsia="方正仿宋" w:cs="方正仿宋"/>
                <w:i w:val="0"/>
                <w:iCs w:val="0"/>
                <w:color w:val="000000"/>
                <w:kern w:val="0"/>
                <w:sz w:val="24"/>
                <w:szCs w:val="24"/>
                <w:u w:val="none"/>
                <w:lang w:val="en-US" w:eastAsia="zh-CN" w:bidi="ar"/>
              </w:rPr>
              <w:br w:type="textWrapping"/>
            </w:r>
            <w:r>
              <w:rPr>
                <w:rFonts w:hint="eastAsia" w:ascii="方正仿宋" w:hAnsi="方正仿宋" w:eastAsia="方正仿宋" w:cs="方正仿宋"/>
                <w:i w:val="0"/>
                <w:iCs w:val="0"/>
                <w:color w:val="000000"/>
                <w:kern w:val="0"/>
                <w:sz w:val="24"/>
                <w:szCs w:val="24"/>
                <w:u w:val="none"/>
                <w:lang w:val="en-US" w:eastAsia="zh-CN" w:bidi="ar"/>
              </w:rPr>
              <w:t>7.项目履约过程中采购人有权对考核内容及分值条款进行调整。</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lang w:val="en-US"/>
              </w:rPr>
            </w:pPr>
            <w:r>
              <w:rPr>
                <w:rFonts w:hint="eastAsia" w:ascii="方正仿宋" w:hAnsi="方正仿宋" w:eastAsia="方正仿宋" w:cs="方正仿宋"/>
                <w:i w:val="0"/>
                <w:iCs w:val="0"/>
                <w:color w:val="000000"/>
                <w:kern w:val="0"/>
                <w:sz w:val="24"/>
                <w:szCs w:val="24"/>
                <w:u w:val="none"/>
                <w:lang w:val="en-US" w:eastAsia="zh-CN" w:bidi="ar"/>
              </w:rPr>
              <w:t>8.</w:t>
            </w:r>
            <w:r>
              <w:rPr>
                <w:rFonts w:hint="eastAsia" w:ascii="方正仿宋" w:hAnsi="方正仿宋" w:eastAsia="方正仿宋" w:cs="方正仿宋"/>
                <w:b/>
                <w:bCs/>
                <w:i w:val="0"/>
                <w:iCs w:val="0"/>
                <w:color w:val="0000FF"/>
                <w:kern w:val="0"/>
                <w:sz w:val="24"/>
                <w:szCs w:val="24"/>
                <w:u w:val="none"/>
                <w:lang w:val="en-US" w:eastAsia="zh-CN" w:bidi="ar"/>
              </w:rPr>
              <w:t>支付方式具体如下：付款总额依据考核分数结算，“91-100分”支付项目合同费用的100%，“76-90分”支付项目合同费用的90%，“70-75分”支付项目合同费用的80%，“70分以下”采购人有权下达整改通知书要求投标人进行整改。未在规定时间内完成整改，视为投标人履约不合格，采购人有权单方面解除合同，并追究投标人违约责任，由此造成的一切损失由投标人自行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0"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方正仿宋" w:hAnsi="方正仿宋" w:eastAsia="方正仿宋" w:cs="方正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方正仿宋" w:hAnsi="方正仿宋" w:eastAsia="方正仿宋" w:cs="方正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方正仿宋" w:hAnsi="方正仿宋" w:eastAsia="方正仿宋" w:cs="方正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方正仿宋" w:hAnsi="方正仿宋" w:eastAsia="方正仿宋" w:cs="方正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方正仿宋" w:hAnsi="方正仿宋" w:eastAsia="方正仿宋" w:cs="方正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方正仿宋" w:hAnsi="方正仿宋" w:eastAsia="方正仿宋" w:cs="方正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000"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方正仿宋" w:hAnsi="方正仿宋" w:eastAsia="方正仿宋" w:cs="方正仿宋"/>
                <w:i w:val="0"/>
                <w:iCs w:val="0"/>
                <w:color w:val="000000"/>
                <w:sz w:val="24"/>
                <w:szCs w:val="24"/>
                <w:u w:val="none"/>
              </w:rPr>
            </w:pPr>
          </w:p>
        </w:tc>
      </w:tr>
    </w:tbl>
    <w:p>
      <w:pPr>
        <w:pStyle w:val="5"/>
        <w:rPr>
          <w:rFonts w:hint="eastAsia"/>
          <w:lang w:val="en-US" w:eastAsia="zh-CN"/>
        </w:rPr>
      </w:pPr>
    </w:p>
    <w:p>
      <w:pPr>
        <w:pStyle w:val="5"/>
        <w:rPr>
          <w:rFonts w:ascii="Times New Roman" w:hAnsi="Times New Roman"/>
          <w:highlight w:val="none"/>
        </w:rPr>
      </w:pPr>
    </w:p>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
    <w:panose1 w:val="03000509000000000000"/>
    <w:charset w:val="86"/>
    <w:family w:val="script"/>
    <w:pitch w:val="default"/>
    <w:sig w:usb0="00000001" w:usb1="080E0000" w:usb2="00000000" w:usb3="00000000" w:csb0="00040000" w:csb1="00000000"/>
  </w:font>
  <w:font w:name="方正黑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4</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020DB"/>
    <w:rsid w:val="02F52E14"/>
    <w:rsid w:val="04A4727B"/>
    <w:rsid w:val="04FB3918"/>
    <w:rsid w:val="052E5261"/>
    <w:rsid w:val="056760A9"/>
    <w:rsid w:val="05FB2992"/>
    <w:rsid w:val="05FB6ACE"/>
    <w:rsid w:val="074327A4"/>
    <w:rsid w:val="0BFC1173"/>
    <w:rsid w:val="0F794542"/>
    <w:rsid w:val="130F4B73"/>
    <w:rsid w:val="13546591"/>
    <w:rsid w:val="17973807"/>
    <w:rsid w:val="17FF4F88"/>
    <w:rsid w:val="1993698C"/>
    <w:rsid w:val="1A36561E"/>
    <w:rsid w:val="1A4F3BE6"/>
    <w:rsid w:val="1C160FFE"/>
    <w:rsid w:val="1EC975DB"/>
    <w:rsid w:val="21BA6506"/>
    <w:rsid w:val="229A0FFF"/>
    <w:rsid w:val="285C6DCA"/>
    <w:rsid w:val="2A987073"/>
    <w:rsid w:val="2B3225DB"/>
    <w:rsid w:val="2BC60004"/>
    <w:rsid w:val="2C4719ED"/>
    <w:rsid w:val="306E1126"/>
    <w:rsid w:val="350D01E3"/>
    <w:rsid w:val="35CF5B11"/>
    <w:rsid w:val="386901FB"/>
    <w:rsid w:val="3AC52F2D"/>
    <w:rsid w:val="3C740A36"/>
    <w:rsid w:val="3D3518CD"/>
    <w:rsid w:val="3DD46F42"/>
    <w:rsid w:val="3DFA7F06"/>
    <w:rsid w:val="441A3256"/>
    <w:rsid w:val="4A273E1F"/>
    <w:rsid w:val="4A443679"/>
    <w:rsid w:val="4AF846AA"/>
    <w:rsid w:val="4B785430"/>
    <w:rsid w:val="4B7F385E"/>
    <w:rsid w:val="4B9A348A"/>
    <w:rsid w:val="4E5A64CF"/>
    <w:rsid w:val="52306A4E"/>
    <w:rsid w:val="5311769D"/>
    <w:rsid w:val="54403AD6"/>
    <w:rsid w:val="54641AB3"/>
    <w:rsid w:val="579E6415"/>
    <w:rsid w:val="598E1819"/>
    <w:rsid w:val="599B2CA8"/>
    <w:rsid w:val="59C72BA7"/>
    <w:rsid w:val="5A1242BF"/>
    <w:rsid w:val="60385432"/>
    <w:rsid w:val="63FE5369"/>
    <w:rsid w:val="643A1ADF"/>
    <w:rsid w:val="64997462"/>
    <w:rsid w:val="64C877B7"/>
    <w:rsid w:val="669E51AE"/>
    <w:rsid w:val="6B8C6530"/>
    <w:rsid w:val="733F5DA0"/>
    <w:rsid w:val="73520AC2"/>
    <w:rsid w:val="79441A12"/>
    <w:rsid w:val="7BB25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4">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qFormat/>
    <w:uiPriority w:val="0"/>
    <w:pPr>
      <w:ind w:firstLine="200" w:firstLineChars="200"/>
    </w:pPr>
  </w:style>
  <w:style w:type="paragraph" w:styleId="6">
    <w:name w:val="annotation text"/>
    <w:basedOn w:val="1"/>
    <w:qFormat/>
    <w:uiPriority w:val="0"/>
    <w:pPr>
      <w:jc w:val="left"/>
    </w:pPr>
  </w:style>
  <w:style w:type="paragraph" w:styleId="7">
    <w:name w:val="Salutation"/>
    <w:basedOn w:val="1"/>
    <w:next w:val="1"/>
    <w:qFormat/>
    <w:uiPriority w:val="0"/>
  </w:style>
  <w:style w:type="paragraph" w:styleId="8">
    <w:name w:val="Body Text Indent 2"/>
    <w:basedOn w:val="1"/>
    <w:qFormat/>
    <w:uiPriority w:val="0"/>
    <w:pPr>
      <w:spacing w:after="120" w:line="480" w:lineRule="auto"/>
      <w:ind w:left="420" w:leftChars="200"/>
      <w:jc w:val="both"/>
    </w:pPr>
    <w:rPr>
      <w:rFonts w:ascii="Times New Roman" w:hAnsi="Times New Roman"/>
      <w:sz w:val="21"/>
      <w:szCs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hAnsi="宋体"/>
      <w:sz w:val="18"/>
      <w:szCs w:val="18"/>
    </w:rPr>
  </w:style>
  <w:style w:type="character" w:styleId="14">
    <w:name w:val="page number"/>
    <w:basedOn w:val="13"/>
    <w:qFormat/>
    <w:uiPriority w:val="0"/>
  </w:style>
  <w:style w:type="character" w:styleId="15">
    <w:name w:val="Hyperlink"/>
    <w:basedOn w:val="13"/>
    <w:qFormat/>
    <w:uiPriority w:val="0"/>
    <w:rPr>
      <w:color w:val="0000FF"/>
      <w:u w:val="single"/>
    </w:rPr>
  </w:style>
  <w:style w:type="paragraph" w:customStyle="1" w:styleId="16">
    <w:name w:val="样式 标题 2 + Times New Roman 四号 非加粗 段前: 5 磅 段后: 0 磅 行距: 固定值 20..."/>
    <w:basedOn w:val="3"/>
    <w:qFormat/>
    <w:uiPriority w:val="99"/>
    <w:pPr>
      <w:spacing w:before="100" w:line="400" w:lineRule="exact"/>
    </w:pPr>
    <w:rPr>
      <w:rFonts w:ascii="Times New Roman" w:hAnsi="Times New Roman" w:eastAsia="黑体" w:cs="宋体"/>
      <w:b w:val="0"/>
      <w:sz w:val="28"/>
    </w:rPr>
  </w:style>
  <w:style w:type="paragraph" w:customStyle="1" w:styleId="1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3204</Words>
  <Characters>3289</Characters>
  <Lines>0</Lines>
  <Paragraphs>0</Paragraphs>
  <TotalTime>162</TotalTime>
  <ScaleCrop>false</ScaleCrop>
  <LinksUpToDate>false</LinksUpToDate>
  <CharactersWithSpaces>3358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2022-01-26T02:34:00Z</dcterms:created>
  <dc:creator>98</dc:creator>
  <cp:lastModifiedBy>dell</cp:lastModifiedBy>
  <cp:lastPrinted>2026-08-19T09:27:00Z</cp:lastPrinted>
  <dcterms:modified xsi:type="dcterms:W3CDTF">2026-09-03T01:38:56Z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AC0985E4E44D4E63952D1D5307E84470_13</vt:lpwstr>
  </property>
  <property fmtid="{D5CDD505-2E9C-101B-9397-08002B2CF9AE}" pid="4" name="KSOTemplateDocerSaveRecord">
    <vt:lpwstr>eyJoZGlkIjoiMDJhYTY0ZTA4NzkzODgwY2VlYWUxMzc3OTkyMGI0NTAiLCJ1c2VySWQiOiI0MTczNDU3OTkifQ==</vt:lpwstr>
  </property>
</Properties>
</file>