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B4808">
      <w:pPr>
        <w:pStyle w:val="2"/>
        <w:ind w:left="0" w:leftChars="0" w:firstLine="0" w:firstLineChars="0"/>
      </w:pPr>
    </w:p>
    <w:p w14:paraId="4497B714">
      <w:pPr>
        <w:pStyle w:val="4"/>
        <w:ind w:firstLine="0" w:firstLineChars="0"/>
        <w:rPr>
          <w:rFonts w:ascii="方正黑体_GBK" w:hAnsi="方正黑体_GBK" w:eastAsia="方正黑体_GBK" w:cs="方正黑体_GBK"/>
          <w:sz w:val="32"/>
          <w:szCs w:val="40"/>
        </w:rPr>
      </w:pPr>
      <w:r>
        <w:rPr>
          <w:rFonts w:hint="eastAsia" w:ascii="方正黑体_GBK" w:hAnsi="方正黑体_GBK" w:eastAsia="方正黑体_GBK" w:cs="方正黑体_GBK"/>
          <w:sz w:val="32"/>
          <w:szCs w:val="40"/>
        </w:rPr>
        <w:t>附件1</w:t>
      </w:r>
    </w:p>
    <w:p w14:paraId="7184C41E">
      <w:pPr>
        <w:spacing w:line="580" w:lineRule="exact"/>
        <w:jc w:val="center"/>
        <w:rPr>
          <w:rFonts w:ascii="方正小标宋_GBK" w:hAnsi="方正小标宋_GBK" w:eastAsia="方正小标宋_GBK" w:cs="方正小标宋_GBK"/>
          <w:sz w:val="36"/>
          <w:szCs w:val="36"/>
        </w:rPr>
      </w:pPr>
      <w:r>
        <w:rPr>
          <w:rFonts w:ascii="方正小标宋_GBK" w:hAnsi="方正小标宋_GBK" w:eastAsia="方正小标宋_GBK" w:cs="方正小标宋_GBK"/>
          <w:sz w:val="36"/>
          <w:szCs w:val="36"/>
        </w:rPr>
        <w:t>询价表</w:t>
      </w:r>
    </w:p>
    <w:p w14:paraId="42705419">
      <w:pPr>
        <w:jc w:val="center"/>
      </w:pPr>
    </w:p>
    <w:p w14:paraId="7666299E">
      <w:pPr>
        <w:spacing w:line="580" w:lineRule="exact"/>
        <w:rPr>
          <w:rFonts w:ascii="方正仿宋_GBK" w:hAnsi="方正仿宋_GBK" w:eastAsia="方正仿宋_GBK" w:cs="方正仿宋_GBK"/>
          <w:kern w:val="0"/>
          <w:sz w:val="30"/>
          <w:szCs w:val="30"/>
          <w:shd w:val="clear" w:color="auto" w:fill="FFFFFF"/>
          <w:lang w:bidi="ar"/>
        </w:rPr>
      </w:pPr>
      <w:r>
        <w:rPr>
          <w:rFonts w:ascii="方正仿宋_GBK" w:hAnsi="方正仿宋_GBK" w:eastAsia="方正仿宋_GBK" w:cs="方正仿宋_GBK"/>
          <w:kern w:val="0"/>
          <w:sz w:val="30"/>
          <w:szCs w:val="30"/>
          <w:shd w:val="clear" w:color="auto" w:fill="FFFFFF"/>
          <w:lang w:bidi="ar"/>
        </w:rPr>
        <w:t>成都高新区</w:t>
      </w:r>
      <w:r>
        <w:rPr>
          <w:rFonts w:hint="eastAsia" w:ascii="方正仿宋_GBK" w:hAnsi="方正仿宋_GBK" w:eastAsia="方正仿宋_GBK" w:cs="方正仿宋_GBK"/>
          <w:kern w:val="0"/>
          <w:sz w:val="30"/>
          <w:szCs w:val="30"/>
          <w:shd w:val="clear" w:color="auto" w:fill="FFFFFF"/>
          <w:lang w:bidi="ar"/>
        </w:rPr>
        <w:t>发展改革</w:t>
      </w:r>
      <w:r>
        <w:rPr>
          <w:rFonts w:ascii="方正仿宋_GBK" w:hAnsi="方正仿宋_GBK" w:eastAsia="方正仿宋_GBK" w:cs="方正仿宋_GBK"/>
          <w:kern w:val="0"/>
          <w:sz w:val="30"/>
          <w:szCs w:val="30"/>
          <w:shd w:val="clear" w:color="auto" w:fill="FFFFFF"/>
          <w:lang w:bidi="ar"/>
        </w:rPr>
        <w:t>局:</w:t>
      </w:r>
    </w:p>
    <w:p w14:paraId="1CFB6256">
      <w:pPr>
        <w:spacing w:line="580" w:lineRule="exact"/>
        <w:ind w:firstLine="600" w:firstLineChars="200"/>
        <w:rPr>
          <w:rFonts w:ascii="方正仿宋_GBK" w:hAnsi="方正仿宋_GBK" w:eastAsia="方正仿宋_GBK" w:cs="方正仿宋_GBK"/>
          <w:kern w:val="0"/>
          <w:sz w:val="30"/>
          <w:szCs w:val="30"/>
          <w:shd w:val="clear" w:color="auto" w:fill="FFFFFF"/>
          <w:lang w:bidi="ar"/>
        </w:rPr>
      </w:pPr>
      <w:r>
        <w:rPr>
          <w:rFonts w:ascii="方正仿宋_GBK" w:hAnsi="方正仿宋_GBK" w:eastAsia="方正仿宋_GBK" w:cs="方正仿宋_GBK"/>
          <w:kern w:val="0"/>
          <w:sz w:val="30"/>
          <w:szCs w:val="30"/>
          <w:shd w:val="clear" w:color="auto" w:fill="FFFFFF"/>
          <w:lang w:bidi="ar"/>
        </w:rPr>
        <w:t>我单位清晰了解上述服务需求，并承诺对相关信息保密经认真研究后，结合市场行情，在合理利润前提下，建议此次服务预算经费为元</w:t>
      </w:r>
      <w:r>
        <w:rPr>
          <w:rFonts w:hint="eastAsia" w:ascii="方正仿宋_GBK" w:hAnsi="方正仿宋_GBK" w:eastAsia="方正仿宋_GBK" w:cs="方正仿宋_GBK"/>
          <w:kern w:val="0"/>
          <w:sz w:val="30"/>
          <w:szCs w:val="30"/>
          <w:u w:val="single"/>
          <w:shd w:val="clear" w:color="auto" w:fill="FFFFFF"/>
          <w:lang w:bidi="ar"/>
        </w:rPr>
        <w:t xml:space="preserve">      </w:t>
      </w:r>
      <w:r>
        <w:rPr>
          <w:rFonts w:ascii="方正仿宋_GBK" w:hAnsi="方正仿宋_GBK" w:eastAsia="方正仿宋_GBK" w:cs="方正仿宋_GBK"/>
          <w:kern w:val="0"/>
          <w:sz w:val="30"/>
          <w:szCs w:val="30"/>
          <w:u w:val="single"/>
          <w:shd w:val="clear" w:color="auto" w:fill="FFFFFF"/>
          <w:lang w:bidi="ar"/>
        </w:rPr>
        <w:t xml:space="preserve"> </w:t>
      </w:r>
      <w:r>
        <w:rPr>
          <w:rFonts w:ascii="方正仿宋_GBK" w:hAnsi="方正仿宋_GBK" w:eastAsia="方正仿宋_GBK" w:cs="方正仿宋_GBK"/>
          <w:kern w:val="0"/>
          <w:sz w:val="30"/>
          <w:szCs w:val="30"/>
          <w:shd w:val="clear" w:color="auto" w:fill="FFFFFF"/>
          <w:lang w:bidi="ar"/>
        </w:rPr>
        <w:t>(大写:</w:t>
      </w:r>
      <w:r>
        <w:rPr>
          <w:rFonts w:hint="eastAsia" w:ascii="方正仿宋_GBK" w:hAnsi="方正仿宋_GBK" w:eastAsia="方正仿宋_GBK" w:cs="方正仿宋_GBK"/>
          <w:kern w:val="0"/>
          <w:sz w:val="30"/>
          <w:szCs w:val="30"/>
          <w:shd w:val="clear" w:color="auto" w:fill="FFFFFF"/>
          <w:lang w:bidi="ar"/>
        </w:rPr>
        <w:t xml:space="preserve"> </w:t>
      </w:r>
      <w:r>
        <w:rPr>
          <w:rFonts w:hint="eastAsia" w:ascii="方正仿宋_GBK" w:hAnsi="方正仿宋_GBK" w:eastAsia="方正仿宋_GBK" w:cs="方正仿宋_GBK"/>
          <w:kern w:val="0"/>
          <w:sz w:val="30"/>
          <w:szCs w:val="30"/>
          <w:u w:val="single"/>
          <w:shd w:val="clear" w:color="auto" w:fill="FFFFFF"/>
          <w:lang w:bidi="ar"/>
        </w:rPr>
        <w:t xml:space="preserve">        </w:t>
      </w:r>
      <w:r>
        <w:rPr>
          <w:rFonts w:ascii="方正仿宋_GBK" w:hAnsi="方正仿宋_GBK" w:eastAsia="方正仿宋_GBK" w:cs="方正仿宋_GBK"/>
          <w:kern w:val="0"/>
          <w:sz w:val="30"/>
          <w:szCs w:val="30"/>
          <w:shd w:val="clear" w:color="auto" w:fill="FFFFFF"/>
          <w:lang w:bidi="ar"/>
        </w:rPr>
        <w:t>整)。</w:t>
      </w:r>
    </w:p>
    <w:p w14:paraId="588566E6">
      <w:pPr>
        <w:spacing w:line="580" w:lineRule="exact"/>
        <w:ind w:firstLine="600" w:firstLineChars="200"/>
        <w:rPr>
          <w:rFonts w:ascii="方正仿宋_GBK" w:hAnsi="方正仿宋_GBK" w:eastAsia="方正仿宋_GBK" w:cs="方正仿宋_GBK"/>
          <w:kern w:val="0"/>
          <w:sz w:val="30"/>
          <w:szCs w:val="30"/>
          <w:shd w:val="clear" w:color="auto" w:fill="FFFFFF"/>
          <w:lang w:bidi="ar"/>
        </w:rPr>
      </w:pPr>
      <w:r>
        <w:rPr>
          <w:rFonts w:ascii="方正仿宋_GBK" w:hAnsi="方正仿宋_GBK" w:eastAsia="方正仿宋_GBK" w:cs="方正仿宋_GBK"/>
          <w:kern w:val="0"/>
          <w:sz w:val="30"/>
          <w:szCs w:val="30"/>
          <w:shd w:val="clear" w:color="auto" w:fill="FFFFFF"/>
          <w:lang w:bidi="ar"/>
        </w:rPr>
        <w:t>本项目工作内容及分项报价表如下:</w:t>
      </w:r>
    </w:p>
    <w:tbl>
      <w:tblPr>
        <w:tblStyle w:val="10"/>
        <w:tblW w:w="59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2932"/>
        <w:gridCol w:w="3251"/>
        <w:gridCol w:w="865"/>
        <w:gridCol w:w="1032"/>
        <w:gridCol w:w="955"/>
      </w:tblGrid>
      <w:tr w14:paraId="521AD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5000" w:type="pct"/>
            <w:gridSpan w:val="6"/>
            <w:vAlign w:val="center"/>
          </w:tcPr>
          <w:p w14:paraId="3C7B3130">
            <w:pPr>
              <w:spacing w:line="360" w:lineRule="exact"/>
              <w:jc w:val="center"/>
              <w:rPr>
                <w:rFonts w:eastAsia="方正仿宋_GBK"/>
                <w:kern w:val="0"/>
                <w:sz w:val="24"/>
              </w:rPr>
            </w:pPr>
            <w:bookmarkStart w:id="0" w:name="OLE_LINK1"/>
            <w:r>
              <w:rPr>
                <w:rFonts w:hint="eastAsia"/>
                <w:b/>
                <w:bCs/>
                <w:kern w:val="0"/>
                <w:sz w:val="30"/>
                <w:szCs w:val="30"/>
              </w:rPr>
              <w:t>2</w:t>
            </w:r>
            <w:r>
              <w:rPr>
                <w:b/>
                <w:bCs/>
                <w:kern w:val="0"/>
                <w:sz w:val="30"/>
                <w:szCs w:val="30"/>
              </w:rPr>
              <w:t>026</w:t>
            </w:r>
            <w:r>
              <w:rPr>
                <w:rFonts w:hint="eastAsia"/>
                <w:b/>
                <w:bCs/>
                <w:kern w:val="0"/>
                <w:sz w:val="30"/>
                <w:szCs w:val="30"/>
              </w:rPr>
              <w:t>年成都高新企业服务宣传项目</w:t>
            </w:r>
          </w:p>
        </w:tc>
      </w:tr>
      <w:tr w14:paraId="15B4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547" w:type="pct"/>
            <w:vAlign w:val="center"/>
          </w:tcPr>
          <w:p w14:paraId="2A45BD39">
            <w:pPr>
              <w:spacing w:line="360" w:lineRule="exact"/>
              <w:jc w:val="center"/>
              <w:rPr>
                <w:rFonts w:ascii="方正黑体_GBK" w:hAnsi="方正黑体_GBK" w:eastAsia="方正黑体_GBK" w:cs="方正黑体_GBK"/>
                <w:kern w:val="2"/>
                <w:sz w:val="24"/>
              </w:rPr>
            </w:pPr>
            <w:r>
              <w:rPr>
                <w:rFonts w:hint="eastAsia" w:ascii="方正黑体_GBK" w:hAnsi="方正黑体_GBK" w:eastAsia="方正黑体_GBK" w:cs="方正黑体_GBK"/>
                <w:kern w:val="0"/>
                <w:sz w:val="24"/>
              </w:rPr>
              <w:t>项目名称</w:t>
            </w:r>
          </w:p>
        </w:tc>
        <w:tc>
          <w:tcPr>
            <w:tcW w:w="1445" w:type="pct"/>
            <w:vAlign w:val="center"/>
          </w:tcPr>
          <w:p w14:paraId="48C827D2">
            <w:pPr>
              <w:spacing w:line="360" w:lineRule="exact"/>
              <w:jc w:val="center"/>
              <w:rPr>
                <w:rFonts w:ascii="方正黑体_GBK" w:hAnsi="方正黑体_GBK" w:eastAsia="方正黑体_GBK" w:cs="方正黑体_GBK"/>
                <w:kern w:val="2"/>
                <w:sz w:val="24"/>
              </w:rPr>
            </w:pPr>
            <w:r>
              <w:rPr>
                <w:rFonts w:hint="eastAsia" w:ascii="方正黑体_GBK" w:hAnsi="方正黑体_GBK" w:eastAsia="方正黑体_GBK" w:cs="方正黑体_GBK"/>
                <w:kern w:val="2"/>
                <w:sz w:val="24"/>
              </w:rPr>
              <w:t>项目内容</w:t>
            </w:r>
          </w:p>
        </w:tc>
        <w:tc>
          <w:tcPr>
            <w:tcW w:w="1602" w:type="pct"/>
            <w:vAlign w:val="center"/>
          </w:tcPr>
          <w:p w14:paraId="3E037651">
            <w:pPr>
              <w:spacing w:line="360" w:lineRule="exact"/>
              <w:jc w:val="center"/>
              <w:rPr>
                <w:rFonts w:ascii="方正黑体_GBK" w:hAnsi="方正黑体_GBK" w:eastAsia="方正黑体_GBK" w:cs="方正黑体_GBK"/>
                <w:kern w:val="2"/>
                <w:sz w:val="24"/>
              </w:rPr>
            </w:pPr>
            <w:r>
              <w:rPr>
                <w:rFonts w:hint="eastAsia" w:ascii="方正黑体_GBK" w:hAnsi="方正黑体_GBK" w:eastAsia="方正黑体_GBK" w:cs="方正黑体_GBK"/>
                <w:kern w:val="0"/>
                <w:sz w:val="24"/>
              </w:rPr>
              <w:t>质量标准</w:t>
            </w:r>
          </w:p>
        </w:tc>
        <w:tc>
          <w:tcPr>
            <w:tcW w:w="426" w:type="pct"/>
            <w:vAlign w:val="center"/>
          </w:tcPr>
          <w:p w14:paraId="7D769FCF">
            <w:pPr>
              <w:spacing w:line="360" w:lineRule="exact"/>
              <w:jc w:val="center"/>
              <w:rPr>
                <w:rFonts w:ascii="方正黑体_GBK" w:hAnsi="方正黑体_GBK" w:eastAsia="方正黑体_GBK" w:cs="方正黑体_GBK"/>
                <w:kern w:val="2"/>
                <w:sz w:val="24"/>
              </w:rPr>
            </w:pPr>
            <w:r>
              <w:rPr>
                <w:rFonts w:hint="eastAsia" w:ascii="方正黑体_GBK" w:hAnsi="方正黑体_GBK" w:eastAsia="方正黑体_GBK" w:cs="方正黑体_GBK"/>
                <w:kern w:val="0"/>
                <w:sz w:val="24"/>
              </w:rPr>
              <w:t>单价</w:t>
            </w:r>
          </w:p>
        </w:tc>
        <w:tc>
          <w:tcPr>
            <w:tcW w:w="509" w:type="pct"/>
            <w:vAlign w:val="center"/>
          </w:tcPr>
          <w:p w14:paraId="4FEB24BA">
            <w:pPr>
              <w:spacing w:line="360" w:lineRule="exact"/>
              <w:jc w:val="center"/>
              <w:rPr>
                <w:rFonts w:ascii="方正黑体_GBK" w:hAnsi="方正黑体_GBK" w:eastAsia="方正黑体_GBK" w:cs="方正黑体_GBK"/>
                <w:kern w:val="2"/>
                <w:sz w:val="24"/>
              </w:rPr>
            </w:pPr>
            <w:r>
              <w:rPr>
                <w:rFonts w:hint="eastAsia" w:ascii="方正黑体_GBK" w:hAnsi="方正黑体_GBK" w:eastAsia="方正黑体_GBK" w:cs="方正黑体_GBK"/>
                <w:kern w:val="0"/>
                <w:sz w:val="24"/>
              </w:rPr>
              <w:t>数量</w:t>
            </w:r>
          </w:p>
        </w:tc>
        <w:tc>
          <w:tcPr>
            <w:tcW w:w="471" w:type="pct"/>
            <w:vAlign w:val="center"/>
          </w:tcPr>
          <w:p w14:paraId="33C0E8F5">
            <w:pPr>
              <w:spacing w:line="360" w:lineRule="exact"/>
              <w:jc w:val="center"/>
              <w:rPr>
                <w:rFonts w:ascii="方正黑体_GBK" w:hAnsi="方正黑体_GBK" w:eastAsia="方正黑体_GBK" w:cs="方正黑体_GBK"/>
                <w:kern w:val="2"/>
                <w:sz w:val="24"/>
              </w:rPr>
            </w:pPr>
            <w:r>
              <w:rPr>
                <w:rFonts w:hint="eastAsia" w:ascii="方正黑体_GBK" w:hAnsi="方正黑体_GBK" w:eastAsia="方正黑体_GBK" w:cs="方正黑体_GBK"/>
                <w:kern w:val="0"/>
                <w:sz w:val="24"/>
              </w:rPr>
              <w:t>总价</w:t>
            </w:r>
          </w:p>
        </w:tc>
      </w:tr>
      <w:tr w14:paraId="18B6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3" w:hRule="atLeast"/>
          <w:jc w:val="center"/>
        </w:trPr>
        <w:tc>
          <w:tcPr>
            <w:tcW w:w="547" w:type="pct"/>
            <w:vMerge w:val="restart"/>
            <w:vAlign w:val="center"/>
          </w:tcPr>
          <w:p w14:paraId="75EC9910">
            <w:pPr>
              <w:spacing w:line="360" w:lineRule="exact"/>
              <w:jc w:val="center"/>
              <w:rPr>
                <w:rFonts w:ascii="方正黑体_GBK" w:hAnsi="方正黑体_GBK" w:eastAsia="方正黑体_GBK" w:cs="方正黑体_GBK"/>
                <w:kern w:val="0"/>
                <w:sz w:val="24"/>
              </w:rPr>
            </w:pPr>
          </w:p>
          <w:p w14:paraId="69549EBA">
            <w:pPr>
              <w:spacing w:line="360" w:lineRule="exact"/>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政务新媒体运营</w:t>
            </w:r>
          </w:p>
        </w:tc>
        <w:tc>
          <w:tcPr>
            <w:tcW w:w="1445" w:type="pct"/>
            <w:vMerge w:val="restart"/>
            <w:vAlign w:val="center"/>
          </w:tcPr>
          <w:p w14:paraId="1CC72D80">
            <w:pPr>
              <w:spacing w:line="360" w:lineRule="exact"/>
              <w:rPr>
                <w:rFonts w:ascii="仿宋" w:hAnsi="仿宋" w:eastAsia="仿宋" w:cs="仿宋"/>
                <w:kern w:val="0"/>
                <w:sz w:val="24"/>
              </w:rPr>
            </w:pPr>
            <w:r>
              <w:rPr>
                <w:rFonts w:hint="eastAsia" w:ascii="仿宋" w:hAnsi="仿宋" w:eastAsia="仿宋" w:cs="仿宋"/>
                <w:kern w:val="0"/>
                <w:sz w:val="24"/>
              </w:rPr>
              <w:t>微信公众号运营：</w:t>
            </w:r>
          </w:p>
          <w:p w14:paraId="10B26830">
            <w:pPr>
              <w:pStyle w:val="2"/>
              <w:spacing w:line="80" w:lineRule="exact"/>
              <w:ind w:left="0" w:leftChars="0" w:firstLine="0"/>
              <w:rPr>
                <w:kern w:val="0"/>
                <w:sz w:val="20"/>
              </w:rPr>
            </w:pPr>
          </w:p>
          <w:p w14:paraId="1AB4543B">
            <w:pPr>
              <w:pStyle w:val="4"/>
              <w:spacing w:line="360" w:lineRule="exact"/>
              <w:ind w:firstLine="0" w:firstLineChars="0"/>
              <w:rPr>
                <w:rFonts w:ascii="Times New Roman" w:hAnsi="Times New Roman" w:eastAsia="方正仿宋"/>
                <w:kern w:val="0"/>
                <w:sz w:val="20"/>
              </w:rPr>
            </w:pPr>
            <w:r>
              <w:rPr>
                <w:rFonts w:hint="eastAsia" w:ascii="仿宋" w:hAnsi="仿宋" w:eastAsia="仿宋" w:cs="仿宋"/>
                <w:kern w:val="0"/>
                <w:sz w:val="24"/>
              </w:rPr>
              <w:t>为“成都高新企业服务”微信公众号提供运营维护服务，根据项目实际需要，安排专人负责日常运营、专题策划、优化微信公众号菜单栏设置、版面风格设计等工作，并及时完成政府系统政务新媒体重点信息和上级交办的其他宣传事项。</w:t>
            </w:r>
          </w:p>
        </w:tc>
        <w:tc>
          <w:tcPr>
            <w:tcW w:w="1602" w:type="pct"/>
            <w:vAlign w:val="center"/>
          </w:tcPr>
          <w:p w14:paraId="4395C72E">
            <w:pPr>
              <w:spacing w:line="360" w:lineRule="exact"/>
              <w:rPr>
                <w:rFonts w:ascii="Times New Roman" w:hAnsi="Times New Roman" w:eastAsia="方正仿宋"/>
                <w:kern w:val="0"/>
                <w:sz w:val="24"/>
              </w:rPr>
            </w:pPr>
            <w:r>
              <w:rPr>
                <w:rFonts w:hint="eastAsia" w:ascii="仿宋" w:hAnsi="仿宋" w:eastAsia="仿宋" w:cs="仿宋"/>
                <w:kern w:val="0"/>
                <w:sz w:val="24"/>
              </w:rPr>
              <w:t>全年发布推文不低于500篇，内容涉及</w:t>
            </w:r>
            <w:r>
              <w:rPr>
                <w:rFonts w:ascii="Times New Roman" w:hAnsi="Times New Roman" w:eastAsia="方正仿宋"/>
                <w:kern w:val="0"/>
                <w:sz w:val="24"/>
              </w:rPr>
              <w:t>全区企业服务相关</w:t>
            </w:r>
            <w:r>
              <w:rPr>
                <w:rFonts w:hint="eastAsia" w:ascii="Times New Roman" w:hAnsi="Times New Roman" w:eastAsia="方正仿宋"/>
                <w:kern w:val="0"/>
                <w:sz w:val="24"/>
              </w:rPr>
              <w:t>活动和资讯，</w:t>
            </w:r>
            <w:r>
              <w:rPr>
                <w:rFonts w:ascii="Times New Roman" w:hAnsi="Times New Roman" w:eastAsia="方正仿宋"/>
                <w:kern w:val="0"/>
                <w:sz w:val="24"/>
              </w:rPr>
              <w:t>注重文字、图片、标题等元素的排版设计</w:t>
            </w:r>
            <w:r>
              <w:rPr>
                <w:rFonts w:hint="eastAsia" w:ascii="Times New Roman" w:hAnsi="Times New Roman" w:eastAsia="方正仿宋"/>
                <w:kern w:val="0"/>
                <w:sz w:val="24"/>
              </w:rPr>
              <w:t>；</w:t>
            </w:r>
            <w:r>
              <w:rPr>
                <w:rFonts w:hint="eastAsia" w:ascii="仿宋" w:hAnsi="仿宋" w:eastAsia="仿宋" w:cs="仿宋"/>
                <w:kern w:val="0"/>
                <w:sz w:val="24"/>
              </w:rPr>
              <w:t>其中发布阅读量1万+的文章不低于5篇，总阅读量累计不低于</w:t>
            </w:r>
            <w:r>
              <w:rPr>
                <w:rFonts w:ascii="仿宋" w:hAnsi="仿宋" w:eastAsia="仿宋" w:cs="仿宋"/>
                <w:kern w:val="0"/>
                <w:sz w:val="24"/>
              </w:rPr>
              <w:t>10</w:t>
            </w:r>
            <w:r>
              <w:rPr>
                <w:rFonts w:hint="eastAsia" w:ascii="仿宋" w:hAnsi="仿宋" w:eastAsia="仿宋" w:cs="仿宋"/>
                <w:kern w:val="0"/>
                <w:sz w:val="24"/>
              </w:rPr>
              <w:t>万+。</w:t>
            </w:r>
          </w:p>
        </w:tc>
        <w:tc>
          <w:tcPr>
            <w:tcW w:w="426" w:type="pct"/>
            <w:vAlign w:val="center"/>
          </w:tcPr>
          <w:p w14:paraId="350013BB">
            <w:pPr>
              <w:spacing w:line="360" w:lineRule="exact"/>
              <w:jc w:val="center"/>
              <w:rPr>
                <w:rFonts w:ascii="Times New Roman" w:hAnsi="Times New Roman" w:eastAsia="方正仿宋"/>
                <w:kern w:val="0"/>
                <w:sz w:val="24"/>
              </w:rPr>
            </w:pPr>
            <w:r>
              <w:rPr>
                <w:rFonts w:ascii="Times New Roman" w:hAnsi="Times New Roman" w:eastAsia="方正仿宋"/>
                <w:kern w:val="0"/>
                <w:sz w:val="24"/>
              </w:rPr>
              <w:t>元/</w:t>
            </w:r>
            <w:r>
              <w:rPr>
                <w:rFonts w:hint="eastAsia" w:ascii="Times New Roman" w:hAnsi="Times New Roman" w:eastAsia="方正仿宋"/>
                <w:kern w:val="0"/>
                <w:sz w:val="24"/>
              </w:rPr>
              <w:t>篇</w:t>
            </w:r>
          </w:p>
        </w:tc>
        <w:tc>
          <w:tcPr>
            <w:tcW w:w="509" w:type="pct"/>
            <w:vAlign w:val="center"/>
          </w:tcPr>
          <w:p w14:paraId="6DA96163">
            <w:pPr>
              <w:spacing w:line="360" w:lineRule="exact"/>
              <w:jc w:val="center"/>
              <w:rPr>
                <w:rFonts w:ascii="Times New Roman" w:hAnsi="Times New Roman" w:eastAsia="方正仿宋"/>
                <w:kern w:val="0"/>
                <w:sz w:val="24"/>
              </w:rPr>
            </w:pPr>
            <w:r>
              <w:rPr>
                <w:rFonts w:hint="eastAsia" w:ascii="Times New Roman" w:hAnsi="Times New Roman" w:eastAsia="方正仿宋"/>
                <w:kern w:val="0"/>
                <w:sz w:val="24"/>
              </w:rPr>
              <w:t>500篇</w:t>
            </w:r>
          </w:p>
        </w:tc>
        <w:tc>
          <w:tcPr>
            <w:tcW w:w="471" w:type="pct"/>
            <w:vAlign w:val="center"/>
          </w:tcPr>
          <w:p w14:paraId="0E9D33C4">
            <w:pPr>
              <w:spacing w:line="360" w:lineRule="exact"/>
              <w:jc w:val="center"/>
              <w:rPr>
                <w:rFonts w:ascii="Times New Roman" w:hAnsi="Times New Roman" w:eastAsia="方正仿宋"/>
                <w:kern w:val="0"/>
                <w:sz w:val="24"/>
              </w:rPr>
            </w:pPr>
            <w:r>
              <w:rPr>
                <w:rFonts w:ascii="Times New Roman" w:hAnsi="Times New Roman" w:eastAsia="方正仿宋"/>
                <w:kern w:val="0"/>
                <w:sz w:val="24"/>
              </w:rPr>
              <w:t>元</w:t>
            </w:r>
          </w:p>
        </w:tc>
      </w:tr>
      <w:tr w14:paraId="079A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jc w:val="center"/>
        </w:trPr>
        <w:tc>
          <w:tcPr>
            <w:tcW w:w="547" w:type="pct"/>
            <w:vMerge w:val="continue"/>
            <w:vAlign w:val="center"/>
          </w:tcPr>
          <w:p w14:paraId="4A4FCAC0">
            <w:pPr>
              <w:spacing w:line="360" w:lineRule="exact"/>
              <w:jc w:val="center"/>
              <w:rPr>
                <w:rFonts w:ascii="方正黑体_GBK" w:hAnsi="方正黑体_GBK" w:eastAsia="方正黑体_GBK" w:cs="方正黑体_GBK"/>
                <w:kern w:val="0"/>
                <w:sz w:val="24"/>
              </w:rPr>
            </w:pPr>
          </w:p>
        </w:tc>
        <w:tc>
          <w:tcPr>
            <w:tcW w:w="1445" w:type="pct"/>
            <w:vMerge w:val="continue"/>
            <w:vAlign w:val="center"/>
          </w:tcPr>
          <w:p w14:paraId="69431263">
            <w:pPr>
              <w:pStyle w:val="4"/>
              <w:spacing w:line="360" w:lineRule="exact"/>
              <w:ind w:firstLine="0" w:firstLineChars="0"/>
              <w:rPr>
                <w:rFonts w:ascii="仿宋" w:hAnsi="仿宋" w:eastAsia="仿宋" w:cs="仿宋"/>
                <w:kern w:val="0"/>
                <w:sz w:val="24"/>
              </w:rPr>
            </w:pPr>
          </w:p>
        </w:tc>
        <w:tc>
          <w:tcPr>
            <w:tcW w:w="1602" w:type="pct"/>
            <w:vAlign w:val="center"/>
          </w:tcPr>
          <w:p w14:paraId="6CDD1A54">
            <w:pPr>
              <w:spacing w:line="360" w:lineRule="exact"/>
              <w:rPr>
                <w:rFonts w:ascii="仿宋" w:hAnsi="仿宋" w:eastAsia="仿宋" w:cs="仿宋"/>
                <w:kern w:val="0"/>
                <w:sz w:val="24"/>
              </w:rPr>
            </w:pPr>
            <w:r>
              <w:rPr>
                <w:rFonts w:hint="eastAsia" w:ascii="仿宋" w:hAnsi="仿宋" w:eastAsia="仿宋" w:cs="仿宋"/>
                <w:kern w:val="0"/>
                <w:sz w:val="24"/>
              </w:rPr>
              <w:t>紧扣高新区重点工作，深入挖掘新闻亮点，策划主题宣传专栏。全年采编原创文章不少于15篇，内容侧重企业服务领域、梯度培育体系、高新经验做法等方向。并积极联动相关新媒体平台，拓展公众号的传播渠道与影响力。</w:t>
            </w:r>
          </w:p>
        </w:tc>
        <w:tc>
          <w:tcPr>
            <w:tcW w:w="426" w:type="pct"/>
            <w:vAlign w:val="center"/>
          </w:tcPr>
          <w:p w14:paraId="28E2BE52">
            <w:pPr>
              <w:adjustRightInd w:val="0"/>
              <w:snapToGrid w:val="0"/>
              <w:spacing w:line="360" w:lineRule="exact"/>
              <w:jc w:val="center"/>
              <w:textAlignment w:val="center"/>
              <w:rPr>
                <w:rFonts w:ascii="Times New Roman" w:hAnsi="Times New Roman" w:eastAsia="方正仿宋"/>
                <w:kern w:val="2"/>
                <w:sz w:val="24"/>
              </w:rPr>
            </w:pPr>
            <w:r>
              <w:rPr>
                <w:rFonts w:ascii="Times New Roman" w:hAnsi="Times New Roman" w:eastAsia="方正仿宋"/>
                <w:kern w:val="0"/>
                <w:sz w:val="24"/>
              </w:rPr>
              <w:t>元/篇</w:t>
            </w:r>
          </w:p>
        </w:tc>
        <w:tc>
          <w:tcPr>
            <w:tcW w:w="509" w:type="pct"/>
            <w:vAlign w:val="center"/>
          </w:tcPr>
          <w:p w14:paraId="07E34544">
            <w:pPr>
              <w:spacing w:line="360" w:lineRule="exact"/>
              <w:jc w:val="center"/>
              <w:textAlignment w:val="center"/>
              <w:rPr>
                <w:rFonts w:ascii="Times New Roman" w:hAnsi="Times New Roman" w:eastAsia="方正仿宋"/>
                <w:kern w:val="2"/>
                <w:sz w:val="24"/>
              </w:rPr>
            </w:pPr>
            <w:r>
              <w:rPr>
                <w:rFonts w:ascii="Times New Roman" w:hAnsi="Times New Roman" w:eastAsia="方正仿宋"/>
                <w:kern w:val="0"/>
                <w:sz w:val="24"/>
              </w:rPr>
              <w:t>15篇</w:t>
            </w:r>
          </w:p>
        </w:tc>
        <w:tc>
          <w:tcPr>
            <w:tcW w:w="471" w:type="pct"/>
            <w:vAlign w:val="center"/>
          </w:tcPr>
          <w:p w14:paraId="777432A7">
            <w:pPr>
              <w:spacing w:line="360" w:lineRule="exact"/>
              <w:jc w:val="center"/>
              <w:rPr>
                <w:rFonts w:ascii="Times New Roman" w:hAnsi="Times New Roman" w:eastAsia="方正仿宋"/>
                <w:kern w:val="2"/>
                <w:sz w:val="24"/>
              </w:rPr>
            </w:pPr>
            <w:r>
              <w:rPr>
                <w:rFonts w:ascii="Times New Roman" w:hAnsi="Times New Roman" w:eastAsia="方正仿宋"/>
                <w:kern w:val="0"/>
                <w:sz w:val="24"/>
              </w:rPr>
              <w:t>元</w:t>
            </w:r>
          </w:p>
        </w:tc>
      </w:tr>
      <w:tr w14:paraId="4ED2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547" w:type="pct"/>
            <w:vMerge w:val="continue"/>
            <w:vAlign w:val="center"/>
          </w:tcPr>
          <w:p w14:paraId="05EAA335">
            <w:pPr>
              <w:spacing w:line="360" w:lineRule="exact"/>
              <w:jc w:val="center"/>
              <w:rPr>
                <w:rFonts w:ascii="方正黑体_GBK" w:hAnsi="方正黑体_GBK" w:eastAsia="方正黑体_GBK" w:cs="方正黑体_GBK"/>
                <w:kern w:val="0"/>
                <w:sz w:val="24"/>
              </w:rPr>
            </w:pPr>
          </w:p>
        </w:tc>
        <w:tc>
          <w:tcPr>
            <w:tcW w:w="1445" w:type="pct"/>
            <w:vMerge w:val="continue"/>
            <w:vAlign w:val="center"/>
          </w:tcPr>
          <w:p w14:paraId="74FB9C2B">
            <w:pPr>
              <w:spacing w:line="360" w:lineRule="exact"/>
              <w:rPr>
                <w:rFonts w:ascii="Times New Roman" w:hAnsi="Times New Roman" w:eastAsia="方正仿宋"/>
                <w:kern w:val="0"/>
                <w:sz w:val="24"/>
              </w:rPr>
            </w:pPr>
          </w:p>
        </w:tc>
        <w:tc>
          <w:tcPr>
            <w:tcW w:w="1602" w:type="pct"/>
            <w:vAlign w:val="center"/>
          </w:tcPr>
          <w:p w14:paraId="39A068B9">
            <w:pPr>
              <w:spacing w:line="360" w:lineRule="exact"/>
              <w:rPr>
                <w:rFonts w:ascii="Times New Roman" w:hAnsi="Times New Roman" w:eastAsia="方正仿宋"/>
                <w:kern w:val="0"/>
                <w:sz w:val="24"/>
              </w:rPr>
            </w:pPr>
            <w:r>
              <w:rPr>
                <w:rFonts w:hint="eastAsia" w:ascii="仿宋" w:hAnsi="仿宋" w:eastAsia="仿宋" w:cs="仿宋"/>
                <w:kern w:val="0"/>
                <w:sz w:val="24"/>
              </w:rPr>
              <w:t>根据节假氛围和文化元素，制作企业服务主题电子海报不少于7个，海报尺寸为1080px*1920px</w:t>
            </w:r>
            <w:r>
              <w:rPr>
                <w:rFonts w:ascii="Times New Roman" w:hAnsi="Times New Roman" w:eastAsia="方正仿宋"/>
                <w:kern w:val="0"/>
                <w:sz w:val="24"/>
              </w:rPr>
              <w:t>。</w:t>
            </w:r>
          </w:p>
        </w:tc>
        <w:tc>
          <w:tcPr>
            <w:tcW w:w="426" w:type="pct"/>
            <w:vAlign w:val="center"/>
          </w:tcPr>
          <w:p w14:paraId="47187D1B">
            <w:pPr>
              <w:widowControl/>
              <w:adjustRightInd w:val="0"/>
              <w:snapToGrid w:val="0"/>
              <w:spacing w:line="360" w:lineRule="exact"/>
              <w:jc w:val="center"/>
              <w:textAlignment w:val="center"/>
              <w:rPr>
                <w:rFonts w:ascii="Times New Roman" w:hAnsi="Times New Roman" w:eastAsia="方正仿宋"/>
                <w:kern w:val="2"/>
                <w:sz w:val="24"/>
              </w:rPr>
            </w:pPr>
            <w:r>
              <w:rPr>
                <w:rFonts w:ascii="Times New Roman" w:hAnsi="Times New Roman" w:eastAsia="方正仿宋"/>
                <w:kern w:val="0"/>
                <w:sz w:val="24"/>
              </w:rPr>
              <w:t>元/</w:t>
            </w:r>
            <w:r>
              <w:rPr>
                <w:rFonts w:hint="eastAsia" w:ascii="Times New Roman" w:hAnsi="Times New Roman" w:eastAsia="方正仿宋"/>
                <w:kern w:val="0"/>
                <w:sz w:val="24"/>
              </w:rPr>
              <w:t>个</w:t>
            </w:r>
          </w:p>
        </w:tc>
        <w:tc>
          <w:tcPr>
            <w:tcW w:w="509" w:type="pct"/>
            <w:vAlign w:val="center"/>
          </w:tcPr>
          <w:p w14:paraId="53C06BB8">
            <w:pPr>
              <w:widowControl/>
              <w:adjustRightInd w:val="0"/>
              <w:snapToGrid w:val="0"/>
              <w:spacing w:line="360" w:lineRule="exact"/>
              <w:jc w:val="center"/>
              <w:textAlignment w:val="center"/>
              <w:rPr>
                <w:rFonts w:ascii="Times New Roman" w:hAnsi="Times New Roman" w:eastAsia="方正仿宋"/>
                <w:kern w:val="2"/>
                <w:sz w:val="24"/>
              </w:rPr>
            </w:pPr>
            <w:r>
              <w:rPr>
                <w:rFonts w:ascii="Times New Roman" w:hAnsi="Times New Roman" w:eastAsia="方正仿宋"/>
                <w:kern w:val="0"/>
                <w:sz w:val="24"/>
              </w:rPr>
              <w:t>7</w:t>
            </w:r>
            <w:r>
              <w:rPr>
                <w:rFonts w:hint="eastAsia" w:ascii="Times New Roman" w:hAnsi="Times New Roman" w:eastAsia="方正仿宋"/>
                <w:kern w:val="0"/>
                <w:sz w:val="24"/>
              </w:rPr>
              <w:t>个</w:t>
            </w:r>
          </w:p>
        </w:tc>
        <w:tc>
          <w:tcPr>
            <w:tcW w:w="471" w:type="pct"/>
            <w:vAlign w:val="center"/>
          </w:tcPr>
          <w:p w14:paraId="03B22A64">
            <w:pPr>
              <w:spacing w:line="360" w:lineRule="exact"/>
              <w:jc w:val="center"/>
              <w:rPr>
                <w:rFonts w:ascii="Times New Roman" w:hAnsi="Times New Roman" w:eastAsia="方正仿宋"/>
                <w:kern w:val="0"/>
                <w:sz w:val="24"/>
              </w:rPr>
            </w:pPr>
            <w:r>
              <w:rPr>
                <w:rFonts w:ascii="Times New Roman" w:hAnsi="Times New Roman" w:eastAsia="方正仿宋"/>
                <w:kern w:val="0"/>
                <w:sz w:val="24"/>
              </w:rPr>
              <w:t>元</w:t>
            </w:r>
          </w:p>
        </w:tc>
      </w:tr>
      <w:tr w14:paraId="6C30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547" w:type="pct"/>
            <w:vMerge w:val="restart"/>
            <w:vAlign w:val="center"/>
          </w:tcPr>
          <w:p w14:paraId="2C5422DE">
            <w:pPr>
              <w:spacing w:line="360" w:lineRule="exact"/>
              <w:jc w:val="center"/>
              <w:rPr>
                <w:rFonts w:ascii="方正黑体_GBK" w:hAnsi="方正黑体_GBK" w:eastAsia="方正黑体_GBK" w:cs="方正黑体_GBK"/>
                <w:kern w:val="0"/>
                <w:sz w:val="24"/>
              </w:rPr>
            </w:pPr>
            <w:r>
              <w:rPr>
                <w:rFonts w:hint="eastAsia" w:ascii="方正黑体_GBK" w:hAnsi="方正黑体_GBK" w:eastAsia="方正黑体_GBK" w:cs="方正黑体_GBK"/>
                <w:kern w:val="0"/>
                <w:sz w:val="24"/>
              </w:rPr>
              <w:t>企业服务成效宣传</w:t>
            </w:r>
          </w:p>
        </w:tc>
        <w:tc>
          <w:tcPr>
            <w:tcW w:w="1445" w:type="pct"/>
            <w:vMerge w:val="restart"/>
            <w:vAlign w:val="center"/>
          </w:tcPr>
          <w:p w14:paraId="636364B6">
            <w:pPr>
              <w:spacing w:line="360" w:lineRule="exact"/>
              <w:rPr>
                <w:rFonts w:ascii="仿宋" w:hAnsi="仿宋" w:eastAsia="仿宋" w:cs="仿宋"/>
                <w:kern w:val="0"/>
                <w:sz w:val="24"/>
              </w:rPr>
            </w:pPr>
            <w:r>
              <w:rPr>
                <w:rFonts w:hint="eastAsia" w:ascii="仿宋" w:hAnsi="仿宋" w:eastAsia="仿宋" w:cs="仿宋"/>
                <w:kern w:val="0"/>
                <w:sz w:val="24"/>
              </w:rPr>
              <w:t>在主流媒体宣传成都高新区企业服务亮点工作：</w:t>
            </w:r>
          </w:p>
          <w:p w14:paraId="727269DB">
            <w:pPr>
              <w:spacing w:line="360" w:lineRule="exact"/>
              <w:rPr>
                <w:rFonts w:ascii="仿宋" w:hAnsi="仿宋" w:eastAsia="仿宋" w:cs="仿宋"/>
                <w:kern w:val="0"/>
                <w:sz w:val="24"/>
              </w:rPr>
            </w:pPr>
            <w:r>
              <w:rPr>
                <w:rFonts w:hint="eastAsia" w:ascii="仿宋" w:hAnsi="仿宋" w:eastAsia="仿宋" w:cs="仿宋"/>
                <w:kern w:val="0"/>
                <w:sz w:val="24"/>
              </w:rPr>
              <w:t>围绕成都高新区企业服务工作，深入挖掘“进解优促”优秀案例、“高新通”功能升级上新、市场开拓进展、民营经济发展、场景创新相关工作，以及政企会客厅、惠企大讲堂、企需我应、企问政达等品牌活动，生动宣传企业服务工作。</w:t>
            </w:r>
          </w:p>
        </w:tc>
        <w:tc>
          <w:tcPr>
            <w:tcW w:w="1602" w:type="pct"/>
            <w:vAlign w:val="center"/>
          </w:tcPr>
          <w:p w14:paraId="7AD27EFA">
            <w:pPr>
              <w:spacing w:line="360" w:lineRule="exact"/>
              <w:rPr>
                <w:rFonts w:ascii="仿宋" w:hAnsi="仿宋" w:eastAsia="仿宋" w:cs="仿宋"/>
                <w:kern w:val="2"/>
                <w:sz w:val="24"/>
              </w:rPr>
            </w:pPr>
            <w:r>
              <w:rPr>
                <w:rFonts w:hint="eastAsia" w:ascii="仿宋" w:hAnsi="仿宋" w:eastAsia="仿宋" w:cs="仿宋"/>
                <w:kern w:val="0"/>
                <w:sz w:val="24"/>
              </w:rPr>
              <w:t>①在中央媒体宣传报道不低于5次，媒体不少于3家；</w:t>
            </w:r>
          </w:p>
        </w:tc>
        <w:tc>
          <w:tcPr>
            <w:tcW w:w="426" w:type="pct"/>
            <w:vAlign w:val="center"/>
          </w:tcPr>
          <w:p w14:paraId="7EFBED4B">
            <w:pPr>
              <w:widowControl/>
              <w:adjustRightInd w:val="0"/>
              <w:snapToGrid w:val="0"/>
              <w:spacing w:line="360" w:lineRule="exact"/>
              <w:jc w:val="center"/>
              <w:textAlignment w:val="center"/>
              <w:rPr>
                <w:rFonts w:ascii="Times New Roman" w:hAnsi="Times New Roman" w:eastAsia="方正仿宋"/>
                <w:kern w:val="2"/>
                <w:sz w:val="24"/>
              </w:rPr>
            </w:pPr>
            <w:r>
              <w:rPr>
                <w:rFonts w:ascii="Times New Roman" w:hAnsi="Times New Roman" w:eastAsia="方正仿宋"/>
                <w:kern w:val="0"/>
                <w:sz w:val="24"/>
              </w:rPr>
              <w:t>元/次</w:t>
            </w:r>
          </w:p>
        </w:tc>
        <w:tc>
          <w:tcPr>
            <w:tcW w:w="509" w:type="pct"/>
            <w:vAlign w:val="center"/>
          </w:tcPr>
          <w:p w14:paraId="03C65405">
            <w:pPr>
              <w:widowControl/>
              <w:spacing w:line="360" w:lineRule="exact"/>
              <w:jc w:val="center"/>
              <w:textAlignment w:val="center"/>
              <w:rPr>
                <w:rFonts w:ascii="Times New Roman" w:hAnsi="Times New Roman" w:eastAsia="方正仿宋"/>
                <w:kern w:val="2"/>
                <w:sz w:val="24"/>
              </w:rPr>
            </w:pPr>
            <w:r>
              <w:rPr>
                <w:rFonts w:ascii="Times New Roman" w:hAnsi="Times New Roman" w:eastAsia="方正仿宋"/>
                <w:kern w:val="0"/>
                <w:sz w:val="24"/>
              </w:rPr>
              <w:t>5次</w:t>
            </w:r>
          </w:p>
        </w:tc>
        <w:tc>
          <w:tcPr>
            <w:tcW w:w="471" w:type="pct"/>
            <w:vAlign w:val="center"/>
          </w:tcPr>
          <w:p w14:paraId="5FFB90B6">
            <w:pPr>
              <w:spacing w:line="360" w:lineRule="exact"/>
              <w:jc w:val="center"/>
              <w:rPr>
                <w:rFonts w:ascii="Times New Roman" w:hAnsi="Times New Roman" w:eastAsia="方正仿宋"/>
                <w:kern w:val="0"/>
                <w:sz w:val="24"/>
              </w:rPr>
            </w:pPr>
            <w:r>
              <w:rPr>
                <w:rFonts w:ascii="Times New Roman" w:hAnsi="Times New Roman" w:eastAsia="方正仿宋"/>
                <w:kern w:val="0"/>
                <w:sz w:val="24"/>
              </w:rPr>
              <w:t>元</w:t>
            </w:r>
          </w:p>
        </w:tc>
      </w:tr>
      <w:tr w14:paraId="4F413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547" w:type="pct"/>
            <w:vMerge w:val="continue"/>
            <w:vAlign w:val="center"/>
          </w:tcPr>
          <w:p w14:paraId="0E237399">
            <w:pPr>
              <w:spacing w:line="360" w:lineRule="exact"/>
              <w:jc w:val="center"/>
              <w:rPr>
                <w:rFonts w:ascii="方正黑体_GBK" w:hAnsi="方正黑体_GBK" w:eastAsia="方正黑体_GBK" w:cs="方正黑体_GBK"/>
                <w:kern w:val="0"/>
                <w:sz w:val="24"/>
              </w:rPr>
            </w:pPr>
          </w:p>
        </w:tc>
        <w:tc>
          <w:tcPr>
            <w:tcW w:w="1445" w:type="pct"/>
            <w:vMerge w:val="continue"/>
            <w:vAlign w:val="center"/>
          </w:tcPr>
          <w:p w14:paraId="2E6A424C">
            <w:pPr>
              <w:spacing w:line="360" w:lineRule="exact"/>
              <w:rPr>
                <w:rFonts w:ascii="Times New Roman" w:hAnsi="Times New Roman" w:eastAsia="方正仿宋"/>
                <w:kern w:val="0"/>
                <w:sz w:val="24"/>
              </w:rPr>
            </w:pPr>
          </w:p>
        </w:tc>
        <w:tc>
          <w:tcPr>
            <w:tcW w:w="1602" w:type="pct"/>
            <w:vAlign w:val="center"/>
          </w:tcPr>
          <w:p w14:paraId="1F3E8B37">
            <w:pPr>
              <w:spacing w:line="360" w:lineRule="exact"/>
              <w:rPr>
                <w:rFonts w:ascii="仿宋" w:hAnsi="仿宋" w:eastAsia="仿宋" w:cs="仿宋"/>
                <w:kern w:val="2"/>
                <w:sz w:val="24"/>
              </w:rPr>
            </w:pPr>
            <w:r>
              <w:rPr>
                <w:rFonts w:hint="eastAsia" w:ascii="仿宋" w:hAnsi="仿宋" w:eastAsia="仿宋" w:cs="仿宋"/>
                <w:kern w:val="0"/>
                <w:sz w:val="24"/>
              </w:rPr>
              <w:t>②在省级媒体宣传报道不低于</w:t>
            </w:r>
            <w:r>
              <w:rPr>
                <w:rFonts w:ascii="仿宋" w:hAnsi="仿宋" w:eastAsia="仿宋" w:cs="仿宋"/>
                <w:kern w:val="0"/>
                <w:sz w:val="24"/>
              </w:rPr>
              <w:t>5</w:t>
            </w:r>
            <w:r>
              <w:rPr>
                <w:rFonts w:hint="eastAsia" w:ascii="仿宋" w:hAnsi="仿宋" w:eastAsia="仿宋" w:cs="仿宋"/>
                <w:kern w:val="0"/>
                <w:sz w:val="24"/>
              </w:rPr>
              <w:t>次，媒体不少于</w:t>
            </w:r>
            <w:r>
              <w:rPr>
                <w:rFonts w:ascii="仿宋" w:hAnsi="仿宋" w:eastAsia="仿宋" w:cs="仿宋"/>
                <w:kern w:val="0"/>
                <w:sz w:val="24"/>
              </w:rPr>
              <w:t>3</w:t>
            </w:r>
            <w:r>
              <w:rPr>
                <w:rFonts w:hint="eastAsia" w:ascii="仿宋" w:hAnsi="仿宋" w:eastAsia="仿宋" w:cs="仿宋"/>
                <w:kern w:val="0"/>
                <w:sz w:val="24"/>
              </w:rPr>
              <w:t>家；</w:t>
            </w:r>
          </w:p>
        </w:tc>
        <w:tc>
          <w:tcPr>
            <w:tcW w:w="426" w:type="pct"/>
            <w:vAlign w:val="center"/>
          </w:tcPr>
          <w:p w14:paraId="1E67FC52">
            <w:pPr>
              <w:widowControl/>
              <w:adjustRightInd w:val="0"/>
              <w:snapToGrid w:val="0"/>
              <w:spacing w:line="360" w:lineRule="exact"/>
              <w:jc w:val="center"/>
              <w:textAlignment w:val="center"/>
              <w:rPr>
                <w:rFonts w:ascii="Times New Roman" w:hAnsi="Times New Roman" w:eastAsia="方正仿宋"/>
                <w:kern w:val="2"/>
                <w:sz w:val="24"/>
              </w:rPr>
            </w:pPr>
            <w:r>
              <w:rPr>
                <w:rFonts w:ascii="Times New Roman" w:hAnsi="Times New Roman" w:eastAsia="方正仿宋"/>
                <w:kern w:val="0"/>
                <w:sz w:val="24"/>
              </w:rPr>
              <w:t>元/次</w:t>
            </w:r>
          </w:p>
        </w:tc>
        <w:tc>
          <w:tcPr>
            <w:tcW w:w="509" w:type="pct"/>
            <w:vAlign w:val="center"/>
          </w:tcPr>
          <w:p w14:paraId="3DF3DC14">
            <w:pPr>
              <w:widowControl/>
              <w:spacing w:line="360" w:lineRule="exact"/>
              <w:jc w:val="center"/>
              <w:textAlignment w:val="center"/>
              <w:rPr>
                <w:rFonts w:ascii="Times New Roman" w:hAnsi="Times New Roman" w:eastAsia="方正仿宋"/>
                <w:kern w:val="2"/>
                <w:sz w:val="24"/>
              </w:rPr>
            </w:pPr>
            <w:r>
              <w:rPr>
                <w:rFonts w:ascii="Times New Roman" w:hAnsi="Times New Roman" w:eastAsia="方正仿宋"/>
                <w:kern w:val="0"/>
                <w:sz w:val="24"/>
              </w:rPr>
              <w:t>5次</w:t>
            </w:r>
          </w:p>
        </w:tc>
        <w:tc>
          <w:tcPr>
            <w:tcW w:w="471" w:type="pct"/>
            <w:vAlign w:val="center"/>
          </w:tcPr>
          <w:p w14:paraId="0A719E2E">
            <w:pPr>
              <w:spacing w:line="360" w:lineRule="exact"/>
              <w:jc w:val="center"/>
              <w:rPr>
                <w:rFonts w:ascii="Times New Roman" w:hAnsi="Times New Roman" w:eastAsia="方正仿宋"/>
                <w:kern w:val="2"/>
                <w:sz w:val="24"/>
              </w:rPr>
            </w:pPr>
            <w:r>
              <w:rPr>
                <w:rFonts w:ascii="Times New Roman" w:hAnsi="Times New Roman" w:eastAsia="方正仿宋"/>
                <w:kern w:val="0"/>
                <w:sz w:val="24"/>
              </w:rPr>
              <w:t>元</w:t>
            </w:r>
          </w:p>
        </w:tc>
      </w:tr>
      <w:tr w14:paraId="6FF00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547" w:type="pct"/>
            <w:vMerge w:val="continue"/>
            <w:vAlign w:val="center"/>
          </w:tcPr>
          <w:p w14:paraId="4FFDB384">
            <w:pPr>
              <w:spacing w:line="360" w:lineRule="exact"/>
              <w:jc w:val="center"/>
              <w:rPr>
                <w:rFonts w:ascii="方正黑体_GBK" w:hAnsi="方正黑体_GBK" w:eastAsia="方正黑体_GBK" w:cs="方正黑体_GBK"/>
                <w:kern w:val="0"/>
                <w:sz w:val="24"/>
              </w:rPr>
            </w:pPr>
          </w:p>
        </w:tc>
        <w:tc>
          <w:tcPr>
            <w:tcW w:w="1445" w:type="pct"/>
            <w:vMerge w:val="continue"/>
            <w:vAlign w:val="center"/>
          </w:tcPr>
          <w:p w14:paraId="75207CB7">
            <w:pPr>
              <w:spacing w:line="360" w:lineRule="exact"/>
              <w:rPr>
                <w:rFonts w:ascii="Times New Roman" w:hAnsi="Times New Roman" w:eastAsia="方正仿宋"/>
                <w:kern w:val="0"/>
                <w:sz w:val="24"/>
              </w:rPr>
            </w:pPr>
          </w:p>
        </w:tc>
        <w:tc>
          <w:tcPr>
            <w:tcW w:w="1602" w:type="pct"/>
            <w:vAlign w:val="center"/>
          </w:tcPr>
          <w:p w14:paraId="70A0629F">
            <w:pPr>
              <w:spacing w:line="360" w:lineRule="exact"/>
              <w:rPr>
                <w:rFonts w:ascii="仿宋" w:hAnsi="仿宋" w:eastAsia="仿宋" w:cs="仿宋"/>
                <w:kern w:val="2"/>
                <w:sz w:val="24"/>
              </w:rPr>
            </w:pPr>
            <w:r>
              <w:rPr>
                <w:rFonts w:hint="eastAsia" w:ascii="仿宋" w:hAnsi="仿宋" w:eastAsia="仿宋" w:cs="仿宋"/>
                <w:kern w:val="0"/>
                <w:sz w:val="24"/>
              </w:rPr>
              <w:t>③在市级媒体宣传报道不低于</w:t>
            </w:r>
            <w:r>
              <w:rPr>
                <w:rFonts w:ascii="仿宋" w:hAnsi="仿宋" w:eastAsia="仿宋" w:cs="仿宋"/>
                <w:kern w:val="0"/>
                <w:sz w:val="24"/>
              </w:rPr>
              <w:t>5</w:t>
            </w:r>
            <w:r>
              <w:rPr>
                <w:rFonts w:hint="eastAsia" w:ascii="仿宋" w:hAnsi="仿宋" w:eastAsia="仿宋" w:cs="仿宋"/>
                <w:kern w:val="0"/>
                <w:sz w:val="24"/>
              </w:rPr>
              <w:t>次，媒体不少于3家；</w:t>
            </w:r>
          </w:p>
        </w:tc>
        <w:tc>
          <w:tcPr>
            <w:tcW w:w="426" w:type="pct"/>
            <w:vAlign w:val="center"/>
          </w:tcPr>
          <w:p w14:paraId="3E434A69">
            <w:pPr>
              <w:widowControl/>
              <w:adjustRightInd w:val="0"/>
              <w:snapToGrid w:val="0"/>
              <w:spacing w:line="360" w:lineRule="exact"/>
              <w:jc w:val="center"/>
              <w:textAlignment w:val="center"/>
              <w:rPr>
                <w:rFonts w:ascii="Times New Roman" w:hAnsi="Times New Roman" w:eastAsia="方正仿宋"/>
                <w:kern w:val="2"/>
                <w:sz w:val="24"/>
              </w:rPr>
            </w:pPr>
            <w:r>
              <w:rPr>
                <w:rFonts w:ascii="Times New Roman" w:hAnsi="Times New Roman" w:eastAsia="方正仿宋"/>
                <w:kern w:val="0"/>
                <w:sz w:val="24"/>
              </w:rPr>
              <w:t>元/次</w:t>
            </w:r>
          </w:p>
        </w:tc>
        <w:tc>
          <w:tcPr>
            <w:tcW w:w="509" w:type="pct"/>
            <w:vAlign w:val="center"/>
          </w:tcPr>
          <w:p w14:paraId="158E154E">
            <w:pPr>
              <w:widowControl/>
              <w:spacing w:line="360" w:lineRule="exact"/>
              <w:jc w:val="center"/>
              <w:textAlignment w:val="center"/>
              <w:rPr>
                <w:rFonts w:ascii="Times New Roman" w:hAnsi="Times New Roman" w:eastAsia="方正仿宋"/>
                <w:kern w:val="2"/>
                <w:sz w:val="24"/>
              </w:rPr>
            </w:pPr>
            <w:r>
              <w:rPr>
                <w:rFonts w:ascii="Times New Roman" w:hAnsi="Times New Roman" w:eastAsia="方正仿宋"/>
                <w:kern w:val="0"/>
                <w:sz w:val="24"/>
              </w:rPr>
              <w:t>5次</w:t>
            </w:r>
          </w:p>
        </w:tc>
        <w:tc>
          <w:tcPr>
            <w:tcW w:w="471" w:type="pct"/>
            <w:vAlign w:val="center"/>
          </w:tcPr>
          <w:p w14:paraId="0560C66E">
            <w:pPr>
              <w:spacing w:line="360" w:lineRule="exact"/>
              <w:jc w:val="center"/>
              <w:rPr>
                <w:rFonts w:ascii="Times New Roman" w:hAnsi="Times New Roman" w:eastAsia="方正仿宋"/>
                <w:kern w:val="2"/>
                <w:sz w:val="24"/>
              </w:rPr>
            </w:pPr>
            <w:r>
              <w:rPr>
                <w:rFonts w:ascii="Times New Roman" w:hAnsi="Times New Roman" w:eastAsia="方正仿宋"/>
                <w:kern w:val="0"/>
                <w:sz w:val="24"/>
              </w:rPr>
              <w:t>元</w:t>
            </w:r>
          </w:p>
        </w:tc>
      </w:tr>
      <w:tr w14:paraId="0FE7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547" w:type="pct"/>
            <w:vMerge w:val="continue"/>
            <w:vAlign w:val="center"/>
          </w:tcPr>
          <w:p w14:paraId="679124EA">
            <w:pPr>
              <w:spacing w:line="360" w:lineRule="exact"/>
              <w:jc w:val="center"/>
              <w:rPr>
                <w:rFonts w:ascii="方正黑体_GBK" w:hAnsi="方正黑体_GBK" w:eastAsia="方正黑体_GBK" w:cs="方正黑体_GBK"/>
                <w:kern w:val="0"/>
                <w:sz w:val="24"/>
              </w:rPr>
            </w:pPr>
          </w:p>
        </w:tc>
        <w:tc>
          <w:tcPr>
            <w:tcW w:w="1445" w:type="pct"/>
            <w:vMerge w:val="continue"/>
            <w:vAlign w:val="center"/>
          </w:tcPr>
          <w:p w14:paraId="2F7F492F">
            <w:pPr>
              <w:spacing w:line="360" w:lineRule="exact"/>
              <w:rPr>
                <w:rFonts w:ascii="Times New Roman" w:hAnsi="Times New Roman" w:eastAsia="方正仿宋"/>
                <w:kern w:val="0"/>
                <w:sz w:val="24"/>
              </w:rPr>
            </w:pPr>
          </w:p>
        </w:tc>
        <w:tc>
          <w:tcPr>
            <w:tcW w:w="1602" w:type="pct"/>
            <w:vAlign w:val="center"/>
          </w:tcPr>
          <w:p w14:paraId="6CF3508D">
            <w:pPr>
              <w:spacing w:line="360" w:lineRule="exact"/>
              <w:rPr>
                <w:rFonts w:ascii="仿宋" w:hAnsi="仿宋" w:eastAsia="仿宋" w:cs="仿宋"/>
                <w:kern w:val="2"/>
                <w:sz w:val="24"/>
              </w:rPr>
            </w:pPr>
            <w:r>
              <w:rPr>
                <w:rFonts w:hint="eastAsia" w:ascii="仿宋" w:hAnsi="仿宋" w:eastAsia="仿宋" w:cs="仿宋"/>
                <w:kern w:val="0"/>
                <w:sz w:val="24"/>
              </w:rPr>
              <w:t>④在省级以上纸媒宣发1/2版。</w:t>
            </w:r>
          </w:p>
        </w:tc>
        <w:tc>
          <w:tcPr>
            <w:tcW w:w="426" w:type="pct"/>
            <w:vAlign w:val="center"/>
          </w:tcPr>
          <w:p w14:paraId="50EE92B3">
            <w:pPr>
              <w:widowControl/>
              <w:adjustRightInd w:val="0"/>
              <w:snapToGrid w:val="0"/>
              <w:spacing w:line="360" w:lineRule="exact"/>
              <w:jc w:val="center"/>
              <w:textAlignment w:val="center"/>
              <w:rPr>
                <w:rFonts w:ascii="Times New Roman" w:hAnsi="Times New Roman" w:eastAsia="方正仿宋"/>
                <w:kern w:val="2"/>
                <w:sz w:val="24"/>
              </w:rPr>
            </w:pPr>
            <w:r>
              <w:rPr>
                <w:rFonts w:ascii="Times New Roman" w:hAnsi="Times New Roman" w:eastAsia="方正仿宋"/>
                <w:kern w:val="0"/>
                <w:sz w:val="24"/>
              </w:rPr>
              <w:t>元/</w:t>
            </w:r>
            <w:r>
              <w:rPr>
                <w:rFonts w:hint="eastAsia" w:ascii="Times New Roman" w:hAnsi="Times New Roman" w:eastAsia="方正仿宋"/>
                <w:kern w:val="0"/>
                <w:sz w:val="24"/>
              </w:rPr>
              <w:t>次</w:t>
            </w:r>
          </w:p>
        </w:tc>
        <w:tc>
          <w:tcPr>
            <w:tcW w:w="509" w:type="pct"/>
            <w:vAlign w:val="center"/>
          </w:tcPr>
          <w:p w14:paraId="037DF19A">
            <w:pPr>
              <w:widowControl/>
              <w:spacing w:line="360" w:lineRule="exact"/>
              <w:jc w:val="center"/>
              <w:textAlignment w:val="center"/>
              <w:rPr>
                <w:rFonts w:ascii="Times New Roman" w:hAnsi="Times New Roman" w:eastAsia="方正仿宋"/>
                <w:kern w:val="2"/>
                <w:sz w:val="24"/>
              </w:rPr>
            </w:pPr>
            <w:r>
              <w:rPr>
                <w:rFonts w:hint="eastAsia" w:ascii="仿宋" w:hAnsi="仿宋" w:eastAsia="仿宋" w:cs="仿宋"/>
                <w:kern w:val="0"/>
                <w:sz w:val="24"/>
              </w:rPr>
              <w:t>1次</w:t>
            </w:r>
          </w:p>
        </w:tc>
        <w:tc>
          <w:tcPr>
            <w:tcW w:w="471" w:type="pct"/>
            <w:vAlign w:val="center"/>
          </w:tcPr>
          <w:p w14:paraId="032374C9">
            <w:pPr>
              <w:spacing w:line="360" w:lineRule="exact"/>
              <w:jc w:val="center"/>
              <w:rPr>
                <w:rFonts w:ascii="Times New Roman" w:hAnsi="Times New Roman" w:eastAsia="方正仿宋"/>
                <w:kern w:val="2"/>
                <w:sz w:val="24"/>
              </w:rPr>
            </w:pPr>
            <w:r>
              <w:rPr>
                <w:rFonts w:ascii="Times New Roman" w:hAnsi="Times New Roman" w:eastAsia="方正仿宋"/>
                <w:kern w:val="0"/>
                <w:sz w:val="24"/>
              </w:rPr>
              <w:t>元</w:t>
            </w:r>
          </w:p>
        </w:tc>
      </w:tr>
      <w:tr w14:paraId="50C9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4529" w:type="pct"/>
            <w:gridSpan w:val="5"/>
            <w:vAlign w:val="center"/>
          </w:tcPr>
          <w:p w14:paraId="3DFF6472">
            <w:pPr>
              <w:tabs>
                <w:tab w:val="left" w:pos="8132"/>
              </w:tabs>
              <w:spacing w:line="360" w:lineRule="exact"/>
              <w:jc w:val="right"/>
              <w:rPr>
                <w:rFonts w:eastAsia="方正仿宋_GBK"/>
                <w:kern w:val="0"/>
                <w:sz w:val="24"/>
              </w:rPr>
            </w:pPr>
            <w:r>
              <w:rPr>
                <w:rFonts w:hint="eastAsia" w:ascii="方正黑体_GBK" w:hAnsi="方正黑体_GBK" w:eastAsia="方正黑体_GBK" w:cs="方正黑体_GBK"/>
                <w:kern w:val="0"/>
                <w:sz w:val="24"/>
              </w:rPr>
              <w:t>合计</w:t>
            </w:r>
          </w:p>
        </w:tc>
        <w:tc>
          <w:tcPr>
            <w:tcW w:w="471" w:type="pct"/>
            <w:vAlign w:val="center"/>
          </w:tcPr>
          <w:p w14:paraId="1E033A72">
            <w:pPr>
              <w:spacing w:line="360" w:lineRule="exact"/>
              <w:jc w:val="center"/>
              <w:rPr>
                <w:rFonts w:eastAsia="方正仿宋_GBK"/>
                <w:kern w:val="0"/>
                <w:sz w:val="24"/>
              </w:rPr>
            </w:pPr>
          </w:p>
        </w:tc>
      </w:tr>
      <w:bookmarkEnd w:id="0"/>
    </w:tbl>
    <w:p w14:paraId="24509C8E"/>
    <w:p w14:paraId="642EB5F4"/>
    <w:p w14:paraId="0F11A9A4"/>
    <w:p w14:paraId="0E2CF823">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A00002EF" w:usb1="4000207B" w:usb2="00000000" w:usb3="00000000" w:csb0="2000019F" w:csb1="00000000"/>
  </w:font>
  <w:font w:name="等线">
    <w:panose1 w:val="02010600030101010101"/>
    <w:charset w:val="86"/>
    <w:family w:val="auto"/>
    <w:pitch w:val="default"/>
    <w:sig w:usb0="A00002BF" w:usb1="38CF7CFA" w:usb2="00000016" w:usb3="00000000" w:csb0="0004000F" w:csb1="00000000"/>
    <w:embedRegular r:id="rId1" w:fontKey="{95414898-86B7-4C76-BD3D-ED4DED01E7A3}"/>
  </w:font>
  <w:font w:name="方正小标宋_GBK">
    <w:panose1 w:val="02000000000000000000"/>
    <w:charset w:val="86"/>
    <w:family w:val="script"/>
    <w:pitch w:val="default"/>
    <w:sig w:usb0="A00002BF" w:usb1="38CF7CFA" w:usb2="00082016" w:usb3="00000000" w:csb0="00040001" w:csb1="00000000"/>
    <w:embedRegular r:id="rId2" w:fontKey="{2163C8C5-77DB-4D21-9104-3C9A167FE0AB}"/>
  </w:font>
  <w:font w:name="方正仿宋_GBK">
    <w:panose1 w:val="02000000000000000000"/>
    <w:charset w:val="86"/>
    <w:family w:val="script"/>
    <w:pitch w:val="default"/>
    <w:sig w:usb0="A00002BF" w:usb1="38CF7CFA" w:usb2="00082016" w:usb3="00000000" w:csb0="00040001" w:csb1="00000000"/>
    <w:embedRegular r:id="rId3" w:fontKey="{BB34EA57-8C13-444E-81C1-6883D8514994}"/>
  </w:font>
  <w:font w:name="方正仿宋">
    <w:panose1 w:val="03000509000000000000"/>
    <w:charset w:val="86"/>
    <w:family w:val="script"/>
    <w:pitch w:val="default"/>
    <w:sig w:usb0="00000001" w:usb1="080E0000" w:usb2="00000000" w:usb3="00000000" w:csb0="00040000" w:csb1="00000000"/>
  </w:font>
  <w:font w:name="方正黑体_GBK">
    <w:panose1 w:val="02010600010101010101"/>
    <w:charset w:val="86"/>
    <w:family w:val="script"/>
    <w:pitch w:val="default"/>
    <w:sig w:usb0="00000001" w:usb1="080E0000" w:usb2="00000000" w:usb3="00000000" w:csb0="00040000" w:csb1="00000000"/>
    <w:embedRegular r:id="rId4" w:fontKey="{C926FE6A-17E5-4C5E-BAD8-94B2B32D66D2}"/>
  </w:font>
  <w:font w:name="仿宋">
    <w:panose1 w:val="02010609060101010101"/>
    <w:charset w:val="86"/>
    <w:family w:val="modern"/>
    <w:pitch w:val="default"/>
    <w:sig w:usb0="800002BF" w:usb1="38CF7CFA" w:usb2="00000016" w:usb3="00000000" w:csb0="00040001" w:csb1="00000000"/>
    <w:embedRegular r:id="rId5" w:fontKey="{3AFC38DE-7158-4280-9240-785DBCC5DBE2}"/>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1D7"/>
    <w:rsid w:val="00065404"/>
    <w:rsid w:val="000D47BE"/>
    <w:rsid w:val="00110158"/>
    <w:rsid w:val="001C20FB"/>
    <w:rsid w:val="002577DA"/>
    <w:rsid w:val="00281702"/>
    <w:rsid w:val="003227B4"/>
    <w:rsid w:val="004C3DE0"/>
    <w:rsid w:val="004F06DE"/>
    <w:rsid w:val="00514485"/>
    <w:rsid w:val="005918CA"/>
    <w:rsid w:val="005A7AA5"/>
    <w:rsid w:val="005F66E9"/>
    <w:rsid w:val="006744B3"/>
    <w:rsid w:val="006B354A"/>
    <w:rsid w:val="006F37A0"/>
    <w:rsid w:val="00716320"/>
    <w:rsid w:val="0084663B"/>
    <w:rsid w:val="00874285"/>
    <w:rsid w:val="0090295F"/>
    <w:rsid w:val="009136C3"/>
    <w:rsid w:val="00941F31"/>
    <w:rsid w:val="00A0698F"/>
    <w:rsid w:val="00A667E4"/>
    <w:rsid w:val="00A951D7"/>
    <w:rsid w:val="00AF17FF"/>
    <w:rsid w:val="00B50B98"/>
    <w:rsid w:val="00B60AA1"/>
    <w:rsid w:val="00B8486D"/>
    <w:rsid w:val="00C65241"/>
    <w:rsid w:val="00C8282D"/>
    <w:rsid w:val="00C91622"/>
    <w:rsid w:val="00D5094B"/>
    <w:rsid w:val="00E370C1"/>
    <w:rsid w:val="00E4482D"/>
    <w:rsid w:val="00EC3A39"/>
    <w:rsid w:val="00EF6C21"/>
    <w:rsid w:val="00FA09F2"/>
    <w:rsid w:val="00FB3B7C"/>
    <w:rsid w:val="2A9211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next w:val="1"/>
    <w:link w:val="14"/>
    <w:unhideWhenUsed/>
    <w:qFormat/>
    <w:uiPriority w:val="0"/>
    <w:pPr>
      <w:ind w:firstLine="420"/>
    </w:pPr>
  </w:style>
  <w:style w:type="paragraph" w:styleId="3">
    <w:name w:val="Body Text Indent"/>
    <w:basedOn w:val="1"/>
    <w:link w:val="13"/>
    <w:semiHidden/>
    <w:unhideWhenUsed/>
    <w:qFormat/>
    <w:uiPriority w:val="99"/>
    <w:pPr>
      <w:spacing w:after="120"/>
      <w:ind w:left="420" w:leftChars="200"/>
    </w:pPr>
  </w:style>
  <w:style w:type="paragraph" w:styleId="4">
    <w:name w:val="Normal Indent"/>
    <w:basedOn w:val="1"/>
    <w:unhideWhenUsed/>
    <w:qFormat/>
    <w:uiPriority w:val="99"/>
    <w:pPr>
      <w:tabs>
        <w:tab w:val="left" w:pos="0"/>
      </w:tabs>
      <w:ind w:firstLine="420" w:firstLineChars="200"/>
    </w:pPr>
  </w:style>
  <w:style w:type="paragraph" w:styleId="5">
    <w:name w:val="Balloon Text"/>
    <w:basedOn w:val="1"/>
    <w:link w:val="17"/>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kern w:val="0"/>
      <w:sz w:val="24"/>
    </w:rPr>
  </w:style>
  <w:style w:type="table" w:styleId="10">
    <w:name w:val="Table Grid"/>
    <w:basedOn w:val="9"/>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000FF"/>
      <w:u w:val="single"/>
    </w:rPr>
  </w:style>
  <w:style w:type="character" w:customStyle="1" w:styleId="13">
    <w:name w:val="正文文本缩进 字符"/>
    <w:basedOn w:val="11"/>
    <w:link w:val="3"/>
    <w:semiHidden/>
    <w:qFormat/>
    <w:uiPriority w:val="99"/>
    <w:rPr>
      <w:rFonts w:ascii="Calibri" w:hAnsi="Calibri" w:eastAsia="宋体" w:cs="Times New Roman"/>
      <w:szCs w:val="24"/>
    </w:rPr>
  </w:style>
  <w:style w:type="character" w:customStyle="1" w:styleId="14">
    <w:name w:val="正文首行缩进 2 字符"/>
    <w:basedOn w:val="13"/>
    <w:link w:val="2"/>
    <w:qFormat/>
    <w:uiPriority w:val="0"/>
    <w:rPr>
      <w:rFonts w:ascii="Calibri" w:hAnsi="Calibri" w:eastAsia="宋体" w:cs="Times New Roman"/>
      <w:szCs w:val="24"/>
    </w:rPr>
  </w:style>
  <w:style w:type="character" w:customStyle="1" w:styleId="15">
    <w:name w:val="页眉 字符"/>
    <w:basedOn w:val="11"/>
    <w:link w:val="7"/>
    <w:qFormat/>
    <w:uiPriority w:val="99"/>
    <w:rPr>
      <w:rFonts w:ascii="Calibri" w:hAnsi="Calibri" w:eastAsia="宋体" w:cs="Times New Roman"/>
      <w:sz w:val="18"/>
      <w:szCs w:val="18"/>
    </w:rPr>
  </w:style>
  <w:style w:type="character" w:customStyle="1" w:styleId="16">
    <w:name w:val="页脚 字符"/>
    <w:basedOn w:val="11"/>
    <w:link w:val="6"/>
    <w:qFormat/>
    <w:uiPriority w:val="99"/>
    <w:rPr>
      <w:rFonts w:ascii="Calibri" w:hAnsi="Calibri" w:eastAsia="宋体" w:cs="Times New Roman"/>
      <w:sz w:val="18"/>
      <w:szCs w:val="18"/>
    </w:rPr>
  </w:style>
  <w:style w:type="character" w:customStyle="1" w:styleId="17">
    <w:name w:val="批注框文本 字符"/>
    <w:basedOn w:val="11"/>
    <w:link w:val="5"/>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280</Words>
  <Characters>321</Characters>
  <Lines>9</Lines>
  <Paragraphs>2</Paragraphs>
  <TotalTime>207</TotalTime>
  <ScaleCrop>false</ScaleCrop>
  <LinksUpToDate>false</LinksUpToDate>
  <CharactersWithSpaces>361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2025-03-18T03:14:00Z</dcterms:created>
  <dc:creator>Administrator</dc:creator>
  <cp:lastModifiedBy>Li</cp:lastModifiedBy>
  <cp:lastPrinted>2026-07-22T06:03:00Z</cp:lastPrinted>
  <dcterms:modified xsi:type="dcterms:W3CDTF">2026-07-22T08:47:31Z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eyJoZGlkIjoiNjZjMGE1ZjMwZjA2M2I2OGQ4MTRmYmUwZDExMDUzZGMiLCJ1c2VySWQiOiI2NzM4NjgyMzkifQ==</vt:lpwstr>
  </property>
  <property fmtid="{D5CDD505-2E9C-101B-9397-08002B2CF9AE}" pid="3" name="KSOProductBuildVer">
    <vt:lpwstr>2052-12.1.0.26895</vt:lpwstr>
  </property>
  <property fmtid="{D5CDD505-2E9C-101B-9397-08002B2CF9AE}" pid="4" name="ICV">
    <vt:lpwstr>54788B48BF64493C974EA8ACBBA0B8CF_13</vt:lpwstr>
  </property>
</Properties>
</file>